
<file path=[Content_Types].xml><?xml version="1.0" encoding="utf-8"?>
<Types xmlns="http://schemas.openxmlformats.org/package/2006/content-types">
  <Default Extension="jpg" ContentType="image/jpeg"/>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4347853" w14:textId="77777777" w:rsidR="00363653" w:rsidRDefault="00744548">
      <w:pPr>
        <w:jc w:val="center"/>
        <w:rPr>
          <w:rFonts w:ascii="Arial" w:eastAsia="Arial" w:hAnsi="Arial" w:cs="Arial"/>
          <w:b/>
          <w:bCs/>
          <w:sz w:val="24"/>
          <w:szCs w:val="24"/>
        </w:rPr>
      </w:pPr>
      <w:r>
        <w:rPr>
          <w:rFonts w:ascii="Arial" w:eastAsia="Arial" w:hAnsi="Arial" w:cs="Arial"/>
          <w:b/>
          <w:bCs/>
          <w:sz w:val="24"/>
          <w:szCs w:val="24"/>
        </w:rPr>
        <w:t>El emprendimiento femenino gana impulso en el sector financiero de la mano de Women in Banking, BEI y BBVA</w:t>
      </w:r>
    </w:p>
    <w:p w14:paraId="2BF8EE48" w14:textId="77777777" w:rsidR="00363653" w:rsidRDefault="00363653">
      <w:pPr>
        <w:ind w:left="720"/>
        <w:jc w:val="both"/>
        <w:rPr>
          <w:rFonts w:ascii="Arial" w:eastAsia="Arial" w:hAnsi="Arial" w:cs="Arial"/>
          <w:b/>
          <w:bCs/>
        </w:rPr>
      </w:pPr>
    </w:p>
    <w:p w14:paraId="07DA09BD" w14:textId="30D298B5" w:rsidR="00363653" w:rsidRPr="00640B15" w:rsidRDefault="006729EE">
      <w:pPr>
        <w:numPr>
          <w:ilvl w:val="0"/>
          <w:numId w:val="1"/>
        </w:numPr>
        <w:jc w:val="both"/>
        <w:rPr>
          <w:rFonts w:ascii="Arial" w:eastAsia="Arial" w:hAnsi="Arial" w:cs="Arial"/>
          <w:b/>
          <w:bCs/>
        </w:rPr>
      </w:pPr>
      <w:r w:rsidRPr="004B44E0">
        <w:rPr>
          <w:rFonts w:ascii="Arial" w:eastAsia="Arial" w:hAnsi="Arial" w:cs="Arial"/>
          <w:b/>
          <w:bCs/>
        </w:rPr>
        <w:t xml:space="preserve">Women in Banking Spain </w:t>
      </w:r>
      <w:r w:rsidRPr="00640B15">
        <w:rPr>
          <w:rFonts w:ascii="Arial" w:eastAsia="Arial" w:hAnsi="Arial" w:cs="Arial"/>
          <w:b/>
          <w:bCs/>
        </w:rPr>
        <w:t>celebra un evento en Ciudad BBVA</w:t>
      </w:r>
      <w:r w:rsidRPr="004B44E0">
        <w:rPr>
          <w:rFonts w:ascii="Arial" w:eastAsia="Arial" w:hAnsi="Arial" w:cs="Arial"/>
        </w:rPr>
        <w:t xml:space="preserve"> </w:t>
      </w:r>
      <w:r w:rsidRPr="00640B15">
        <w:rPr>
          <w:rFonts w:ascii="Arial" w:eastAsia="Arial" w:hAnsi="Arial" w:cs="Arial"/>
          <w:b/>
          <w:bCs/>
        </w:rPr>
        <w:t>sobre el potencial económico de la financiación con perspectiva de género en la Unión Europea.</w:t>
      </w:r>
    </w:p>
    <w:p w14:paraId="5985D13C" w14:textId="1C111C75" w:rsidR="006729EE" w:rsidRPr="004B44E0" w:rsidRDefault="006729EE" w:rsidP="006729EE">
      <w:pPr>
        <w:numPr>
          <w:ilvl w:val="0"/>
          <w:numId w:val="1"/>
        </w:numPr>
        <w:rPr>
          <w:rFonts w:ascii="Arial" w:eastAsia="Arial" w:hAnsi="Arial" w:cs="Arial"/>
          <w:b/>
          <w:bCs/>
          <w:lang w:val="es-ES"/>
        </w:rPr>
      </w:pPr>
      <w:r w:rsidRPr="00640B15">
        <w:rPr>
          <w:rFonts w:ascii="Arial" w:eastAsia="Arial" w:hAnsi="Arial" w:cs="Arial"/>
          <w:b/>
          <w:bCs/>
        </w:rPr>
        <w:t>El B</w:t>
      </w:r>
      <w:r w:rsidR="009703C2">
        <w:rPr>
          <w:rFonts w:ascii="Arial" w:eastAsia="Arial" w:hAnsi="Arial" w:cs="Arial"/>
          <w:b/>
          <w:bCs/>
        </w:rPr>
        <w:t>EI</w:t>
      </w:r>
      <w:r w:rsidR="001F6454">
        <w:rPr>
          <w:rFonts w:ascii="Arial" w:eastAsia="Arial" w:hAnsi="Arial" w:cs="Arial"/>
          <w:b/>
          <w:bCs/>
        </w:rPr>
        <w:t xml:space="preserve"> </w:t>
      </w:r>
      <w:r w:rsidR="00B11E0C">
        <w:rPr>
          <w:rFonts w:ascii="Arial" w:eastAsia="Arial" w:hAnsi="Arial" w:cs="Arial"/>
          <w:b/>
          <w:bCs/>
        </w:rPr>
        <w:t xml:space="preserve">presentó </w:t>
      </w:r>
      <w:r w:rsidR="00640B15">
        <w:rPr>
          <w:rFonts w:ascii="Arial" w:eastAsia="Arial" w:hAnsi="Arial" w:cs="Arial"/>
          <w:b/>
          <w:bCs/>
        </w:rPr>
        <w:t xml:space="preserve">durante el evento </w:t>
      </w:r>
      <w:r w:rsidRPr="00640B15">
        <w:rPr>
          <w:rFonts w:ascii="Arial" w:eastAsia="Arial" w:hAnsi="Arial" w:cs="Arial"/>
          <w:b/>
          <w:bCs/>
        </w:rPr>
        <w:t xml:space="preserve">las oportunidades que se derivan de cerrar </w:t>
      </w:r>
      <w:r w:rsidRPr="004B44E0">
        <w:rPr>
          <w:rFonts w:ascii="Arial" w:eastAsia="Arial" w:hAnsi="Arial" w:cs="Arial"/>
          <w:b/>
          <w:bCs/>
          <w:lang w:val="es-ES"/>
        </w:rPr>
        <w:t xml:space="preserve">la brecha de financiación de género, </w:t>
      </w:r>
      <w:r w:rsidRPr="00640B15">
        <w:rPr>
          <w:rFonts w:ascii="Arial" w:eastAsia="Arial" w:hAnsi="Arial" w:cs="Arial"/>
          <w:b/>
          <w:bCs/>
          <w:lang w:val="es-ES"/>
        </w:rPr>
        <w:t>tanto para el sector f</w:t>
      </w:r>
      <w:r w:rsidR="00717F67">
        <w:rPr>
          <w:rFonts w:ascii="Arial" w:eastAsia="Arial" w:hAnsi="Arial" w:cs="Arial"/>
          <w:b/>
          <w:bCs/>
          <w:lang w:val="es-ES"/>
        </w:rPr>
        <w:t xml:space="preserve">inanciero como </w:t>
      </w:r>
      <w:r w:rsidRPr="00640B15">
        <w:rPr>
          <w:rFonts w:ascii="Arial" w:eastAsia="Arial" w:hAnsi="Arial" w:cs="Arial"/>
          <w:b/>
          <w:bCs/>
          <w:lang w:val="es-ES"/>
        </w:rPr>
        <w:t>para potenciar</w:t>
      </w:r>
      <w:r w:rsidR="00640B15" w:rsidRPr="00640B15">
        <w:rPr>
          <w:rFonts w:ascii="Arial" w:eastAsia="Arial" w:hAnsi="Arial" w:cs="Arial"/>
          <w:b/>
          <w:bCs/>
          <w:lang w:val="es-ES"/>
        </w:rPr>
        <w:t xml:space="preserve"> el emprendimiento femenino y avanzar en las agendas sociales</w:t>
      </w:r>
      <w:r w:rsidR="00640B15">
        <w:rPr>
          <w:rFonts w:ascii="Arial" w:eastAsia="Arial" w:hAnsi="Arial" w:cs="Arial"/>
          <w:b/>
          <w:bCs/>
          <w:lang w:val="es-ES"/>
        </w:rPr>
        <w:t xml:space="preserve"> </w:t>
      </w:r>
      <w:r w:rsidR="00640B15" w:rsidRPr="00640B15">
        <w:rPr>
          <w:rFonts w:ascii="Arial" w:eastAsia="Arial" w:hAnsi="Arial" w:cs="Arial"/>
          <w:b/>
          <w:bCs/>
          <w:lang w:val="es-ES"/>
        </w:rPr>
        <w:t>y de gobernanza.</w:t>
      </w:r>
    </w:p>
    <w:p w14:paraId="52E291E2" w14:textId="7B1EDF05" w:rsidR="00363653" w:rsidRPr="00640B15" w:rsidRDefault="00744548">
      <w:pPr>
        <w:numPr>
          <w:ilvl w:val="0"/>
          <w:numId w:val="1"/>
        </w:numPr>
        <w:jc w:val="both"/>
        <w:rPr>
          <w:rFonts w:ascii="Arial" w:eastAsia="Arial" w:hAnsi="Arial" w:cs="Arial"/>
          <w:b/>
          <w:bCs/>
        </w:rPr>
      </w:pPr>
      <w:r w:rsidRPr="00640B15">
        <w:rPr>
          <w:rFonts w:ascii="Arial" w:eastAsia="Arial" w:hAnsi="Arial" w:cs="Arial"/>
          <w:b/>
          <w:bCs/>
        </w:rPr>
        <w:t xml:space="preserve">Una mesa redonda con representantes de CBNK, MicroBank, BBVA, Santander y </w:t>
      </w:r>
      <w:r w:rsidR="00640B15" w:rsidRPr="00640B15">
        <w:rPr>
          <w:rFonts w:ascii="Arial" w:eastAsia="Arial" w:hAnsi="Arial" w:cs="Arial"/>
          <w:b/>
          <w:bCs/>
        </w:rPr>
        <w:t xml:space="preserve">el </w:t>
      </w:r>
      <w:r w:rsidRPr="00640B15">
        <w:rPr>
          <w:rFonts w:ascii="Arial" w:eastAsia="Arial" w:hAnsi="Arial" w:cs="Arial"/>
          <w:b/>
          <w:bCs/>
        </w:rPr>
        <w:t xml:space="preserve">BEI debatió </w:t>
      </w:r>
      <w:r w:rsidR="00717F67">
        <w:rPr>
          <w:rFonts w:ascii="Arial" w:eastAsia="Arial" w:hAnsi="Arial" w:cs="Arial"/>
          <w:b/>
          <w:bCs/>
        </w:rPr>
        <w:t xml:space="preserve">sobre </w:t>
      </w:r>
      <w:r w:rsidRPr="00640B15">
        <w:rPr>
          <w:rFonts w:ascii="Arial" w:eastAsia="Arial" w:hAnsi="Arial" w:cs="Arial"/>
          <w:b/>
          <w:bCs/>
        </w:rPr>
        <w:t>cómo integrar este enfoque en la estrategia bancaria para movilizar capital hacia un segmento con alto potencial de desarrollo.</w:t>
      </w:r>
    </w:p>
    <w:p w14:paraId="59037353" w14:textId="77777777" w:rsidR="00363653" w:rsidRDefault="00363653">
      <w:pPr>
        <w:ind w:left="720"/>
        <w:jc w:val="both"/>
        <w:rPr>
          <w:rFonts w:ascii="Arial" w:eastAsia="Arial" w:hAnsi="Arial" w:cs="Arial"/>
        </w:rPr>
      </w:pPr>
    </w:p>
    <w:p w14:paraId="746C2A64" w14:textId="53180B06" w:rsidR="00363653" w:rsidRDefault="00744548">
      <w:pPr>
        <w:jc w:val="both"/>
        <w:rPr>
          <w:rFonts w:ascii="Arial" w:eastAsia="Arial" w:hAnsi="Arial" w:cs="Arial"/>
          <w:sz w:val="20"/>
          <w:szCs w:val="20"/>
        </w:rPr>
      </w:pPr>
      <w:r>
        <w:rPr>
          <w:rFonts w:ascii="Arial" w:eastAsia="Arial" w:hAnsi="Arial" w:cs="Arial"/>
          <w:sz w:val="20"/>
          <w:szCs w:val="20"/>
        </w:rPr>
        <w:t>Madrid, 2</w:t>
      </w:r>
      <w:r w:rsidR="00F11702">
        <w:rPr>
          <w:rFonts w:ascii="Arial" w:eastAsia="Arial" w:hAnsi="Arial" w:cs="Arial"/>
          <w:sz w:val="20"/>
          <w:szCs w:val="20"/>
        </w:rPr>
        <w:t>7</w:t>
      </w:r>
      <w:r>
        <w:rPr>
          <w:rFonts w:ascii="Arial" w:eastAsia="Arial" w:hAnsi="Arial" w:cs="Arial"/>
          <w:sz w:val="20"/>
          <w:szCs w:val="20"/>
        </w:rPr>
        <w:t xml:space="preserve"> de febrero de 2026 – </w:t>
      </w:r>
      <w:r>
        <w:rPr>
          <w:rFonts w:ascii="Arial" w:eastAsia="Arial" w:hAnsi="Arial" w:cs="Arial"/>
          <w:b/>
          <w:bCs/>
          <w:sz w:val="20"/>
          <w:szCs w:val="20"/>
        </w:rPr>
        <w:t>Women in Banking Spain (WIB), la</w:t>
      </w:r>
      <w:r>
        <w:rPr>
          <w:rFonts w:ascii="Arial" w:eastAsia="Arial" w:hAnsi="Arial" w:cs="Arial"/>
          <w:sz w:val="20"/>
          <w:szCs w:val="20"/>
        </w:rPr>
        <w:t xml:space="preserve"> </w:t>
      </w:r>
      <w:r>
        <w:rPr>
          <w:rFonts w:ascii="Arial" w:eastAsia="Arial" w:hAnsi="Arial" w:cs="Arial"/>
          <w:b/>
          <w:bCs/>
          <w:sz w:val="20"/>
          <w:szCs w:val="20"/>
        </w:rPr>
        <w:t>asociación de referencia en el impulso del talento femenino en el ámbito financiero español,</w:t>
      </w:r>
      <w:r>
        <w:rPr>
          <w:rFonts w:ascii="Arial" w:eastAsia="Arial" w:hAnsi="Arial" w:cs="Arial"/>
          <w:sz w:val="20"/>
          <w:szCs w:val="20"/>
        </w:rPr>
        <w:t xml:space="preserve"> junto con el Banco Europeo de Inversiones (BEI) y BBVA, ha celebrado en la sede de Ciudad BBVA el evento “</w:t>
      </w:r>
      <w:r>
        <w:rPr>
          <w:rFonts w:ascii="Arial" w:eastAsia="Arial" w:hAnsi="Arial" w:cs="Arial"/>
          <w:b/>
          <w:bCs/>
          <w:sz w:val="20"/>
          <w:szCs w:val="20"/>
        </w:rPr>
        <w:t>Financiación con Perspectiva de Género: From Gap to Growth</w:t>
      </w:r>
      <w:r>
        <w:rPr>
          <w:rFonts w:ascii="Arial" w:eastAsia="Arial" w:hAnsi="Arial" w:cs="Arial"/>
          <w:sz w:val="20"/>
          <w:szCs w:val="20"/>
        </w:rPr>
        <w:t>”, reuniendo a referentes del sector financiero para debatir el papel del liderazgo femenino como motor de innovación, competitividad y crecimiento sostenible.</w:t>
      </w:r>
    </w:p>
    <w:p w14:paraId="74A3261A" w14:textId="77777777" w:rsidR="00363653" w:rsidRDefault="00363653">
      <w:pPr>
        <w:jc w:val="both"/>
        <w:rPr>
          <w:rFonts w:ascii="Arial" w:eastAsia="Arial" w:hAnsi="Arial" w:cs="Arial"/>
          <w:sz w:val="20"/>
          <w:szCs w:val="20"/>
        </w:rPr>
      </w:pPr>
    </w:p>
    <w:p w14:paraId="4695A796" w14:textId="64053747" w:rsidR="00640B15" w:rsidRDefault="00744548">
      <w:pPr>
        <w:jc w:val="both"/>
        <w:rPr>
          <w:rFonts w:ascii="Arial" w:eastAsia="Arial" w:hAnsi="Arial" w:cs="Arial"/>
          <w:sz w:val="20"/>
          <w:szCs w:val="20"/>
        </w:rPr>
      </w:pPr>
      <w:r>
        <w:rPr>
          <w:rFonts w:ascii="Arial" w:eastAsia="Arial" w:hAnsi="Arial" w:cs="Arial"/>
          <w:sz w:val="20"/>
          <w:szCs w:val="20"/>
        </w:rPr>
        <w:t xml:space="preserve">La bienvenida institucional corrió a cargo de </w:t>
      </w:r>
      <w:r>
        <w:rPr>
          <w:rFonts w:ascii="Arial" w:eastAsia="Arial" w:hAnsi="Arial" w:cs="Arial"/>
          <w:b/>
          <w:bCs/>
          <w:sz w:val="20"/>
          <w:szCs w:val="20"/>
        </w:rPr>
        <w:t>Ángel Giménez</w:t>
      </w:r>
      <w:r>
        <w:rPr>
          <w:rFonts w:ascii="Arial" w:eastAsia="Arial" w:hAnsi="Arial" w:cs="Arial"/>
          <w:sz w:val="20"/>
          <w:szCs w:val="20"/>
        </w:rPr>
        <w:t xml:space="preserve">, </w:t>
      </w:r>
      <w:r w:rsidR="00245E9C">
        <w:rPr>
          <w:rFonts w:ascii="Arial" w:eastAsia="Arial" w:hAnsi="Arial" w:cs="Arial"/>
          <w:b/>
          <w:bCs/>
          <w:sz w:val="20"/>
          <w:szCs w:val="20"/>
        </w:rPr>
        <w:t>c</w:t>
      </w:r>
      <w:r>
        <w:rPr>
          <w:rFonts w:ascii="Arial" w:eastAsia="Arial" w:hAnsi="Arial" w:cs="Arial"/>
          <w:b/>
          <w:bCs/>
          <w:sz w:val="20"/>
          <w:szCs w:val="20"/>
        </w:rPr>
        <w:t xml:space="preserve">ountry </w:t>
      </w:r>
      <w:r w:rsidR="00245E9C">
        <w:rPr>
          <w:rFonts w:ascii="Arial" w:eastAsia="Arial" w:hAnsi="Arial" w:cs="Arial"/>
          <w:b/>
          <w:bCs/>
          <w:sz w:val="20"/>
          <w:szCs w:val="20"/>
        </w:rPr>
        <w:t>h</w:t>
      </w:r>
      <w:r>
        <w:rPr>
          <w:rFonts w:ascii="Arial" w:eastAsia="Arial" w:hAnsi="Arial" w:cs="Arial"/>
          <w:b/>
          <w:bCs/>
          <w:sz w:val="20"/>
          <w:szCs w:val="20"/>
        </w:rPr>
        <w:t>ead Sostenibilidad España en BBVA</w:t>
      </w:r>
      <w:r>
        <w:rPr>
          <w:rFonts w:ascii="Arial" w:eastAsia="Arial" w:hAnsi="Arial" w:cs="Arial"/>
          <w:sz w:val="20"/>
          <w:szCs w:val="20"/>
        </w:rPr>
        <w:t xml:space="preserve">, seguido de la intervención de </w:t>
      </w:r>
      <w:r>
        <w:rPr>
          <w:rFonts w:ascii="Arial" w:eastAsia="Arial" w:hAnsi="Arial" w:cs="Arial"/>
          <w:b/>
          <w:bCs/>
          <w:sz w:val="20"/>
          <w:szCs w:val="20"/>
        </w:rPr>
        <w:t xml:space="preserve">Gemma Feliciani, </w:t>
      </w:r>
      <w:r w:rsidR="00245E9C" w:rsidRPr="00245E9C">
        <w:rPr>
          <w:rFonts w:ascii="Arial" w:eastAsia="Arial" w:hAnsi="Arial" w:cs="Arial"/>
          <w:b/>
          <w:bCs/>
          <w:sz w:val="20"/>
          <w:szCs w:val="20"/>
        </w:rPr>
        <w:t xml:space="preserve">director of Financial Institutions </w:t>
      </w:r>
      <w:r w:rsidR="00245E9C">
        <w:rPr>
          <w:rFonts w:ascii="Arial" w:eastAsia="Arial" w:hAnsi="Arial" w:cs="Arial"/>
          <w:b/>
          <w:bCs/>
          <w:sz w:val="20"/>
          <w:szCs w:val="20"/>
        </w:rPr>
        <w:t>del</w:t>
      </w:r>
      <w:r w:rsidR="00245E9C" w:rsidRPr="00245E9C">
        <w:rPr>
          <w:rFonts w:ascii="Arial" w:eastAsia="Arial" w:hAnsi="Arial" w:cs="Arial"/>
          <w:b/>
          <w:bCs/>
          <w:sz w:val="20"/>
          <w:szCs w:val="20"/>
        </w:rPr>
        <w:t xml:space="preserve"> </w:t>
      </w:r>
      <w:r w:rsidR="00212E4B">
        <w:rPr>
          <w:rFonts w:ascii="Arial" w:eastAsia="Arial" w:hAnsi="Arial" w:cs="Arial"/>
          <w:b/>
          <w:bCs/>
          <w:sz w:val="20"/>
          <w:szCs w:val="20"/>
        </w:rPr>
        <w:t>BEI</w:t>
      </w:r>
      <w:r>
        <w:rPr>
          <w:rFonts w:ascii="Arial" w:eastAsia="Arial" w:hAnsi="Arial" w:cs="Arial"/>
          <w:sz w:val="20"/>
          <w:szCs w:val="20"/>
        </w:rPr>
        <w:t xml:space="preserve">. La jornada continuó con la intervención de </w:t>
      </w:r>
      <w:r>
        <w:rPr>
          <w:rFonts w:ascii="Arial" w:eastAsia="Arial" w:hAnsi="Arial" w:cs="Arial"/>
          <w:b/>
          <w:bCs/>
          <w:sz w:val="20"/>
          <w:szCs w:val="20"/>
        </w:rPr>
        <w:t xml:space="preserve">Carmen Vera, Financial Institutions </w:t>
      </w:r>
      <w:r w:rsidR="00245E9C">
        <w:rPr>
          <w:rFonts w:ascii="Arial" w:eastAsia="Arial" w:hAnsi="Arial" w:cs="Arial"/>
          <w:b/>
          <w:bCs/>
          <w:sz w:val="20"/>
          <w:szCs w:val="20"/>
        </w:rPr>
        <w:t>s</w:t>
      </w:r>
      <w:r>
        <w:rPr>
          <w:rFonts w:ascii="Arial" w:eastAsia="Arial" w:hAnsi="Arial" w:cs="Arial"/>
          <w:b/>
          <w:bCs/>
          <w:sz w:val="20"/>
          <w:szCs w:val="20"/>
        </w:rPr>
        <w:t xml:space="preserve">enior </w:t>
      </w:r>
      <w:r w:rsidR="00245E9C">
        <w:rPr>
          <w:rFonts w:ascii="Arial" w:eastAsia="Arial" w:hAnsi="Arial" w:cs="Arial"/>
          <w:b/>
          <w:bCs/>
          <w:sz w:val="20"/>
          <w:szCs w:val="20"/>
        </w:rPr>
        <w:t>a</w:t>
      </w:r>
      <w:r>
        <w:rPr>
          <w:rFonts w:ascii="Arial" w:eastAsia="Arial" w:hAnsi="Arial" w:cs="Arial"/>
          <w:b/>
          <w:bCs/>
          <w:sz w:val="20"/>
          <w:szCs w:val="20"/>
        </w:rPr>
        <w:t xml:space="preserve">dvisor en </w:t>
      </w:r>
      <w:r w:rsidR="00245E9C">
        <w:rPr>
          <w:rFonts w:ascii="Arial" w:eastAsia="Arial" w:hAnsi="Arial" w:cs="Arial"/>
          <w:b/>
          <w:bCs/>
          <w:sz w:val="20"/>
          <w:szCs w:val="20"/>
        </w:rPr>
        <w:t xml:space="preserve">el </w:t>
      </w:r>
      <w:r>
        <w:rPr>
          <w:rFonts w:ascii="Arial" w:eastAsia="Arial" w:hAnsi="Arial" w:cs="Arial"/>
          <w:b/>
          <w:bCs/>
          <w:sz w:val="20"/>
          <w:szCs w:val="20"/>
        </w:rPr>
        <w:t>BEI</w:t>
      </w:r>
      <w:r>
        <w:rPr>
          <w:rFonts w:ascii="Arial" w:eastAsia="Arial" w:hAnsi="Arial" w:cs="Arial"/>
          <w:sz w:val="20"/>
          <w:szCs w:val="20"/>
        </w:rPr>
        <w:t xml:space="preserve">, </w:t>
      </w:r>
      <w:r w:rsidR="00640B15" w:rsidRPr="00640B15">
        <w:rPr>
          <w:rFonts w:ascii="Arial" w:eastAsia="Arial" w:hAnsi="Arial" w:cs="Arial"/>
          <w:sz w:val="20"/>
          <w:szCs w:val="20"/>
        </w:rPr>
        <w:t>quien presentó las principales conclusiones del informe “</w:t>
      </w:r>
      <w:r w:rsidR="00640B15" w:rsidRPr="00640B15">
        <w:rPr>
          <w:rFonts w:ascii="Arial" w:eastAsia="Arial" w:hAnsi="Arial" w:cs="Arial"/>
          <w:b/>
          <w:bCs/>
          <w:sz w:val="20"/>
          <w:szCs w:val="20"/>
        </w:rPr>
        <w:t>Debt financing for Gender Equality in the EU</w:t>
      </w:r>
      <w:r w:rsidR="00640B15" w:rsidRPr="00640B15">
        <w:rPr>
          <w:rFonts w:ascii="Arial" w:eastAsia="Arial" w:hAnsi="Arial" w:cs="Arial"/>
          <w:sz w:val="20"/>
          <w:szCs w:val="20"/>
        </w:rPr>
        <w:t>”</w:t>
      </w:r>
      <w:r w:rsidR="00640B15">
        <w:rPr>
          <w:rFonts w:ascii="Arial" w:eastAsia="Arial" w:hAnsi="Arial" w:cs="Arial"/>
          <w:sz w:val="20"/>
          <w:szCs w:val="20"/>
        </w:rPr>
        <w:t xml:space="preserve"> del BEI</w:t>
      </w:r>
      <w:r w:rsidR="00640B15" w:rsidRPr="00640B15">
        <w:rPr>
          <w:rFonts w:ascii="Arial" w:eastAsia="Arial" w:hAnsi="Arial" w:cs="Arial"/>
          <w:sz w:val="20"/>
          <w:szCs w:val="20"/>
        </w:rPr>
        <w:t xml:space="preserve">, detallando los principales hallazgos, desafíos y oportunidades que afronta la financiación de los proyectos liderados por mujeres en la Unión Europea. El informe subraya el </w:t>
      </w:r>
      <w:r w:rsidR="00640B15" w:rsidRPr="00640B15">
        <w:rPr>
          <w:rFonts w:ascii="Arial" w:eastAsia="Arial" w:hAnsi="Arial" w:cs="Arial"/>
          <w:b/>
          <w:bCs/>
          <w:sz w:val="20"/>
          <w:szCs w:val="20"/>
        </w:rPr>
        <w:t>potencial económico de cerrar la brecha de financiación de género</w:t>
      </w:r>
      <w:r w:rsidR="00640B15" w:rsidRPr="00640B15">
        <w:rPr>
          <w:rFonts w:ascii="Arial" w:eastAsia="Arial" w:hAnsi="Arial" w:cs="Arial"/>
          <w:sz w:val="20"/>
          <w:szCs w:val="20"/>
        </w:rPr>
        <w:t xml:space="preserve">, que supone una oportunidad de negocio estratégica para el sector financiero, y permitiría </w:t>
      </w:r>
      <w:r w:rsidR="00640B15" w:rsidRPr="00640B15">
        <w:rPr>
          <w:rFonts w:ascii="Arial" w:eastAsia="Arial" w:hAnsi="Arial" w:cs="Arial"/>
          <w:b/>
          <w:bCs/>
          <w:sz w:val="20"/>
          <w:szCs w:val="20"/>
        </w:rPr>
        <w:t>potenciar el tejido empresarial, el desarrollo local y la contribución femenina al PIB europeo</w:t>
      </w:r>
      <w:r w:rsidR="00640B15">
        <w:rPr>
          <w:rFonts w:ascii="Arial" w:eastAsia="Arial" w:hAnsi="Arial" w:cs="Arial"/>
          <w:b/>
          <w:bCs/>
          <w:sz w:val="20"/>
          <w:szCs w:val="20"/>
        </w:rPr>
        <w:t>, además de avanzar en las agendas sociales y de gobernanza.</w:t>
      </w:r>
    </w:p>
    <w:p w14:paraId="0A7ACE8E" w14:textId="77777777" w:rsidR="00640B15" w:rsidRDefault="00640B15">
      <w:pPr>
        <w:jc w:val="both"/>
        <w:rPr>
          <w:rFonts w:ascii="Arial" w:eastAsia="Arial" w:hAnsi="Arial" w:cs="Arial"/>
          <w:sz w:val="20"/>
          <w:szCs w:val="20"/>
        </w:rPr>
      </w:pPr>
    </w:p>
    <w:p w14:paraId="4B6ADBEA" w14:textId="4933BA8E" w:rsidR="00363653" w:rsidRDefault="00744A03">
      <w:pPr>
        <w:jc w:val="both"/>
        <w:rPr>
          <w:rFonts w:ascii="Arial" w:eastAsia="Arial" w:hAnsi="Arial" w:cs="Arial"/>
          <w:sz w:val="20"/>
          <w:szCs w:val="20"/>
        </w:rPr>
      </w:pPr>
      <w:r>
        <w:rPr>
          <w:rFonts w:ascii="Arial" w:eastAsia="Arial" w:hAnsi="Arial" w:cs="Arial"/>
          <w:sz w:val="20"/>
          <w:szCs w:val="20"/>
        </w:rPr>
        <w:t>L</w:t>
      </w:r>
      <w:r w:rsidR="003071F5">
        <w:rPr>
          <w:rFonts w:ascii="Arial" w:eastAsia="Arial" w:hAnsi="Arial" w:cs="Arial"/>
          <w:sz w:val="20"/>
          <w:szCs w:val="20"/>
        </w:rPr>
        <w:t xml:space="preserve">a </w:t>
      </w:r>
      <w:r w:rsidR="00744548">
        <w:rPr>
          <w:rFonts w:ascii="Arial" w:eastAsia="Arial" w:hAnsi="Arial" w:cs="Arial"/>
          <w:sz w:val="20"/>
          <w:szCs w:val="20"/>
        </w:rPr>
        <w:t xml:space="preserve">jornada </w:t>
      </w:r>
      <w:r w:rsidR="003071F5">
        <w:rPr>
          <w:rFonts w:ascii="Arial" w:eastAsia="Arial" w:hAnsi="Arial" w:cs="Arial"/>
          <w:sz w:val="20"/>
          <w:szCs w:val="20"/>
        </w:rPr>
        <w:t>continuó con</w:t>
      </w:r>
      <w:r w:rsidR="00744548">
        <w:rPr>
          <w:rFonts w:ascii="Arial" w:eastAsia="Arial" w:hAnsi="Arial" w:cs="Arial"/>
          <w:sz w:val="20"/>
          <w:szCs w:val="20"/>
        </w:rPr>
        <w:t xml:space="preserve"> la mesa redonda “</w:t>
      </w:r>
      <w:r w:rsidR="00744548">
        <w:rPr>
          <w:rFonts w:ascii="Arial" w:eastAsia="Arial" w:hAnsi="Arial" w:cs="Arial"/>
          <w:b/>
          <w:bCs/>
          <w:sz w:val="20"/>
          <w:szCs w:val="20"/>
        </w:rPr>
        <w:t>Financiación con Perspectiva de Género: una oportunidad de crecimiento y transformación para la banca</w:t>
      </w:r>
      <w:r w:rsidR="00744548">
        <w:rPr>
          <w:rFonts w:ascii="Arial" w:eastAsia="Arial" w:hAnsi="Arial" w:cs="Arial"/>
          <w:sz w:val="20"/>
          <w:szCs w:val="20"/>
        </w:rPr>
        <w:t xml:space="preserve">”, moderada por </w:t>
      </w:r>
      <w:r w:rsidR="00744548">
        <w:rPr>
          <w:rFonts w:ascii="Arial" w:eastAsia="Arial" w:hAnsi="Arial" w:cs="Arial"/>
          <w:b/>
          <w:bCs/>
          <w:sz w:val="20"/>
          <w:szCs w:val="20"/>
        </w:rPr>
        <w:t>Patricia Rodríguez</w:t>
      </w:r>
      <w:r w:rsidR="00744548">
        <w:rPr>
          <w:rFonts w:ascii="Arial" w:eastAsia="Arial" w:hAnsi="Arial" w:cs="Arial"/>
          <w:sz w:val="20"/>
          <w:szCs w:val="20"/>
        </w:rPr>
        <w:t xml:space="preserve">, asesora de mercados financieros en la AEB. Participaron </w:t>
      </w:r>
      <w:r w:rsidR="00744548">
        <w:rPr>
          <w:rFonts w:ascii="Arial" w:eastAsia="Arial" w:hAnsi="Arial" w:cs="Arial"/>
          <w:b/>
          <w:bCs/>
          <w:sz w:val="20"/>
          <w:szCs w:val="20"/>
        </w:rPr>
        <w:t>Sara Cuellar</w:t>
      </w:r>
      <w:r w:rsidR="00744548">
        <w:rPr>
          <w:rFonts w:ascii="Arial" w:eastAsia="Arial" w:hAnsi="Arial" w:cs="Arial"/>
          <w:sz w:val="20"/>
          <w:szCs w:val="20"/>
        </w:rPr>
        <w:t xml:space="preserve">, directora corporativa de Riesgos en CBNK; </w:t>
      </w:r>
      <w:r w:rsidR="00744548">
        <w:rPr>
          <w:rFonts w:ascii="Arial" w:eastAsia="Arial" w:hAnsi="Arial" w:cs="Arial"/>
          <w:b/>
          <w:bCs/>
          <w:sz w:val="20"/>
          <w:szCs w:val="20"/>
        </w:rPr>
        <w:t xml:space="preserve">Elena </w:t>
      </w:r>
      <w:r w:rsidR="00946193">
        <w:rPr>
          <w:rFonts w:ascii="Arial" w:eastAsia="Arial" w:hAnsi="Arial" w:cs="Arial"/>
          <w:b/>
          <w:bCs/>
          <w:sz w:val="20"/>
          <w:szCs w:val="20"/>
        </w:rPr>
        <w:t>Martín</w:t>
      </w:r>
      <w:r w:rsidR="00744548">
        <w:rPr>
          <w:rFonts w:ascii="Arial" w:eastAsia="Arial" w:hAnsi="Arial" w:cs="Arial"/>
          <w:sz w:val="20"/>
          <w:szCs w:val="20"/>
        </w:rPr>
        <w:t xml:space="preserve">, directora de Comunicación e Impacto Social en MicroBank; </w:t>
      </w:r>
      <w:r w:rsidR="00744548">
        <w:rPr>
          <w:rFonts w:ascii="Arial" w:eastAsia="Arial" w:hAnsi="Arial" w:cs="Arial"/>
          <w:b/>
          <w:bCs/>
          <w:sz w:val="20"/>
          <w:szCs w:val="20"/>
        </w:rPr>
        <w:t>Mayka Adrio</w:t>
      </w:r>
      <w:r w:rsidR="00744548">
        <w:rPr>
          <w:rFonts w:ascii="Arial" w:eastAsia="Arial" w:hAnsi="Arial" w:cs="Arial"/>
          <w:sz w:val="20"/>
          <w:szCs w:val="20"/>
        </w:rPr>
        <w:t xml:space="preserve">, directora del Área de Sostenibilidad en BBVA; </w:t>
      </w:r>
      <w:r w:rsidR="00744548">
        <w:rPr>
          <w:rFonts w:ascii="Arial" w:eastAsia="Arial" w:hAnsi="Arial" w:cs="Arial"/>
          <w:b/>
          <w:bCs/>
          <w:sz w:val="20"/>
          <w:szCs w:val="20"/>
        </w:rPr>
        <w:t>Maite Cordón Úcar</w:t>
      </w:r>
      <w:r w:rsidR="00744548">
        <w:rPr>
          <w:rFonts w:ascii="Arial" w:eastAsia="Arial" w:hAnsi="Arial" w:cs="Arial"/>
          <w:sz w:val="20"/>
          <w:szCs w:val="20"/>
        </w:rPr>
        <w:t xml:space="preserve">, responsable de Santander Growth en Santander; y </w:t>
      </w:r>
      <w:r w:rsidR="00744548">
        <w:rPr>
          <w:rFonts w:ascii="Arial" w:eastAsia="Arial" w:hAnsi="Arial" w:cs="Arial"/>
          <w:b/>
          <w:bCs/>
          <w:sz w:val="20"/>
          <w:szCs w:val="20"/>
        </w:rPr>
        <w:t>Saiyi Suzuki</w:t>
      </w:r>
      <w:r w:rsidR="00744548">
        <w:rPr>
          <w:rFonts w:ascii="Arial" w:eastAsia="Arial" w:hAnsi="Arial" w:cs="Arial"/>
          <w:sz w:val="20"/>
          <w:szCs w:val="20"/>
        </w:rPr>
        <w:t xml:space="preserve">, </w:t>
      </w:r>
      <w:r w:rsidR="00245E9C">
        <w:rPr>
          <w:rFonts w:ascii="Arial" w:eastAsia="Arial" w:hAnsi="Arial" w:cs="Arial"/>
          <w:sz w:val="20"/>
          <w:szCs w:val="20"/>
        </w:rPr>
        <w:t>h</w:t>
      </w:r>
      <w:r w:rsidR="00744548">
        <w:rPr>
          <w:rFonts w:ascii="Arial" w:eastAsia="Arial" w:hAnsi="Arial" w:cs="Arial"/>
          <w:sz w:val="20"/>
          <w:szCs w:val="20"/>
        </w:rPr>
        <w:t xml:space="preserve">ead of </w:t>
      </w:r>
      <w:r w:rsidR="00245E9C">
        <w:rPr>
          <w:rFonts w:ascii="Arial" w:eastAsia="Arial" w:hAnsi="Arial" w:cs="Arial"/>
          <w:sz w:val="20"/>
          <w:szCs w:val="20"/>
        </w:rPr>
        <w:t>u</w:t>
      </w:r>
      <w:r w:rsidR="00744548">
        <w:rPr>
          <w:rFonts w:ascii="Arial" w:eastAsia="Arial" w:hAnsi="Arial" w:cs="Arial"/>
          <w:sz w:val="20"/>
          <w:szCs w:val="20"/>
        </w:rPr>
        <w:t>nit Financial Institutions, Spain &amp; Portugal del BEI. El debate abordó la importancia de avanzar hacia una financiación más equitativa y el impacto transformador del emprendimiento femenino para la innovación y la sostenibilidad del sector.</w:t>
      </w:r>
    </w:p>
    <w:p w14:paraId="5D838B87" w14:textId="77777777" w:rsidR="00363653" w:rsidRDefault="00363653">
      <w:pPr>
        <w:jc w:val="both"/>
        <w:rPr>
          <w:rFonts w:ascii="Arial" w:eastAsia="Arial" w:hAnsi="Arial" w:cs="Arial"/>
          <w:sz w:val="20"/>
          <w:szCs w:val="20"/>
        </w:rPr>
      </w:pPr>
    </w:p>
    <w:p w14:paraId="1A8CACFC" w14:textId="77777777" w:rsidR="00363653" w:rsidRDefault="00744548">
      <w:pPr>
        <w:jc w:val="both"/>
        <w:rPr>
          <w:rFonts w:ascii="Arial" w:eastAsia="Arial" w:hAnsi="Arial" w:cs="Arial"/>
          <w:sz w:val="20"/>
          <w:szCs w:val="20"/>
        </w:rPr>
      </w:pPr>
      <w:r>
        <w:rPr>
          <w:rFonts w:ascii="Arial" w:eastAsia="Arial" w:hAnsi="Arial" w:cs="Arial"/>
          <w:sz w:val="20"/>
          <w:szCs w:val="20"/>
        </w:rPr>
        <w:t xml:space="preserve">La mesa profundizó en cuestiones como la </w:t>
      </w:r>
      <w:r>
        <w:rPr>
          <w:rFonts w:ascii="Arial" w:eastAsia="Arial" w:hAnsi="Arial" w:cs="Arial"/>
          <w:b/>
          <w:bCs/>
          <w:sz w:val="20"/>
          <w:szCs w:val="20"/>
        </w:rPr>
        <w:t>brecha de financiación en la fase de escalado de las empresas lideradas por mujeres</w:t>
      </w:r>
      <w:r>
        <w:rPr>
          <w:rFonts w:ascii="Arial" w:eastAsia="Arial" w:hAnsi="Arial" w:cs="Arial"/>
          <w:sz w:val="20"/>
          <w:szCs w:val="20"/>
        </w:rPr>
        <w:t xml:space="preserve">, las principales </w:t>
      </w:r>
      <w:r>
        <w:rPr>
          <w:rFonts w:ascii="Arial" w:eastAsia="Arial" w:hAnsi="Arial" w:cs="Arial"/>
          <w:b/>
          <w:bCs/>
          <w:sz w:val="20"/>
          <w:szCs w:val="20"/>
        </w:rPr>
        <w:t>barreras de acceso</w:t>
      </w:r>
      <w:r>
        <w:rPr>
          <w:rFonts w:ascii="Arial" w:eastAsia="Arial" w:hAnsi="Arial" w:cs="Arial"/>
          <w:sz w:val="20"/>
          <w:szCs w:val="20"/>
        </w:rPr>
        <w:t xml:space="preserve">, la </w:t>
      </w:r>
      <w:r>
        <w:rPr>
          <w:rFonts w:ascii="Arial" w:eastAsia="Arial" w:hAnsi="Arial" w:cs="Arial"/>
          <w:b/>
          <w:bCs/>
          <w:sz w:val="20"/>
          <w:szCs w:val="20"/>
        </w:rPr>
        <w:t>importancia de los instrumentos financieros y no financieros</w:t>
      </w:r>
      <w:r>
        <w:rPr>
          <w:rFonts w:ascii="Arial" w:eastAsia="Arial" w:hAnsi="Arial" w:cs="Arial"/>
          <w:sz w:val="20"/>
          <w:szCs w:val="20"/>
        </w:rPr>
        <w:t xml:space="preserve">, los aprendizajes derivados de experiencias concretas en el sector, y el </w:t>
      </w:r>
      <w:r>
        <w:rPr>
          <w:rFonts w:ascii="Arial" w:eastAsia="Arial" w:hAnsi="Arial" w:cs="Arial"/>
          <w:b/>
          <w:bCs/>
          <w:sz w:val="20"/>
          <w:szCs w:val="20"/>
        </w:rPr>
        <w:t>impacto de las carteras con enfoque de género</w:t>
      </w:r>
      <w:r>
        <w:rPr>
          <w:rFonts w:ascii="Arial" w:eastAsia="Arial" w:hAnsi="Arial" w:cs="Arial"/>
          <w:sz w:val="20"/>
          <w:szCs w:val="20"/>
        </w:rPr>
        <w:t xml:space="preserve"> en términos de riesgo y rentabilidad. La jornada terminó con la intervención de </w:t>
      </w:r>
      <w:r>
        <w:rPr>
          <w:rFonts w:ascii="Arial" w:eastAsia="Arial" w:hAnsi="Arial" w:cs="Arial"/>
          <w:b/>
          <w:bCs/>
          <w:sz w:val="20"/>
          <w:szCs w:val="20"/>
        </w:rPr>
        <w:t>Lucila García Méndez</w:t>
      </w:r>
      <w:r>
        <w:rPr>
          <w:rFonts w:ascii="Arial" w:eastAsia="Arial" w:hAnsi="Arial" w:cs="Arial"/>
          <w:sz w:val="20"/>
          <w:szCs w:val="20"/>
        </w:rPr>
        <w:t>, CEO de ClosinGap.</w:t>
      </w:r>
    </w:p>
    <w:p w14:paraId="21D50B74" w14:textId="77777777" w:rsidR="00363653" w:rsidRDefault="00363653">
      <w:pPr>
        <w:jc w:val="both"/>
        <w:rPr>
          <w:rFonts w:ascii="Arial" w:eastAsia="Arial" w:hAnsi="Arial" w:cs="Arial"/>
          <w:sz w:val="20"/>
          <w:szCs w:val="20"/>
        </w:rPr>
      </w:pPr>
    </w:p>
    <w:p w14:paraId="052514B2" w14:textId="77777777" w:rsidR="00363653" w:rsidRDefault="00744548">
      <w:pPr>
        <w:jc w:val="both"/>
        <w:rPr>
          <w:rFonts w:ascii="Arial" w:eastAsia="Arial" w:hAnsi="Arial" w:cs="Arial"/>
          <w:sz w:val="20"/>
          <w:szCs w:val="20"/>
        </w:rPr>
      </w:pPr>
      <w:r>
        <w:rPr>
          <w:rFonts w:ascii="Arial" w:eastAsia="Arial" w:hAnsi="Arial" w:cs="Arial"/>
          <w:sz w:val="20"/>
          <w:szCs w:val="20"/>
        </w:rPr>
        <w:t xml:space="preserve">La celebración de </w:t>
      </w:r>
      <w:r>
        <w:rPr>
          <w:rFonts w:ascii="Arial" w:eastAsia="Arial" w:hAnsi="Arial" w:cs="Arial"/>
          <w:b/>
          <w:bCs/>
          <w:sz w:val="20"/>
          <w:szCs w:val="20"/>
        </w:rPr>
        <w:t>este encuentro pone de relieve la importancia de generar espacios donde instituciones y profesionales del sector puedan compartir experiencias y</w:t>
      </w:r>
      <w:r>
        <w:t xml:space="preserve">     </w:t>
      </w:r>
      <w:r>
        <w:rPr>
          <w:rFonts w:ascii="Arial" w:eastAsia="Arial" w:hAnsi="Arial" w:cs="Arial"/>
          <w:b/>
          <w:bCs/>
          <w:sz w:val="20"/>
          <w:szCs w:val="20"/>
        </w:rPr>
        <w:t xml:space="preserve"> avanzar conjuntamente </w:t>
      </w:r>
      <w:r>
        <w:rPr>
          <w:rFonts w:ascii="Arial" w:eastAsia="Arial" w:hAnsi="Arial" w:cs="Arial"/>
          <w:sz w:val="20"/>
          <w:szCs w:val="20"/>
        </w:rPr>
        <w:t>en la identificación de oportunidades de crecimiento vinculadas al emprendimiento femenino y su acceso a financiación Women in Banking, como punto de encuentro y agente impulsor, continúa promoviendo el diálogo y la colaboración necesarios para construir un sector financiero más innovador, diverso y equitativo.</w:t>
      </w:r>
    </w:p>
    <w:p w14:paraId="7A97A2F0" w14:textId="77777777" w:rsidR="00363653" w:rsidRDefault="00363653">
      <w:pPr>
        <w:jc w:val="both"/>
        <w:rPr>
          <w:rFonts w:ascii="Arial" w:eastAsia="Arial" w:hAnsi="Arial" w:cs="Arial"/>
        </w:rPr>
      </w:pPr>
    </w:p>
    <w:p w14:paraId="2652CCD2" w14:textId="77777777" w:rsidR="00363653" w:rsidRDefault="00744548">
      <w:pPr>
        <w:spacing w:after="160" w:line="259" w:lineRule="auto"/>
        <w:rPr>
          <w:rFonts w:ascii="Arial" w:eastAsia="Arial" w:hAnsi="Arial" w:cs="Arial"/>
          <w:b/>
          <w:bCs/>
          <w:sz w:val="19"/>
          <w:szCs w:val="19"/>
        </w:rPr>
      </w:pPr>
      <w:r>
        <w:rPr>
          <w:rFonts w:ascii="Arial" w:eastAsia="Arial" w:hAnsi="Arial" w:cs="Arial"/>
          <w:b/>
          <w:bCs/>
          <w:sz w:val="19"/>
          <w:szCs w:val="19"/>
        </w:rPr>
        <w:lastRenderedPageBreak/>
        <w:t>Sobre Women in Banking</w:t>
      </w:r>
    </w:p>
    <w:p w14:paraId="5188630A" w14:textId="77777777" w:rsidR="00363653" w:rsidRDefault="00744548">
      <w:pPr>
        <w:jc w:val="both"/>
        <w:rPr>
          <w:rFonts w:ascii="Arial" w:eastAsia="Arial" w:hAnsi="Arial" w:cs="Arial"/>
          <w:sz w:val="19"/>
          <w:szCs w:val="19"/>
        </w:rPr>
      </w:pPr>
      <w:r>
        <w:rPr>
          <w:rFonts w:ascii="Arial" w:eastAsia="Arial" w:hAnsi="Arial" w:cs="Arial"/>
          <w:b/>
          <w:bCs/>
          <w:sz w:val="19"/>
          <w:szCs w:val="19"/>
        </w:rPr>
        <w:t xml:space="preserve">Women in Banking </w:t>
      </w:r>
      <w:r>
        <w:rPr>
          <w:rFonts w:ascii="Arial" w:eastAsia="Arial" w:hAnsi="Arial" w:cs="Arial"/>
          <w:sz w:val="19"/>
          <w:szCs w:val="19"/>
        </w:rPr>
        <w:t xml:space="preserve">nace con el propósito de liderar e impulsar el cambio concienciando sobre el valor de la mujer en los puestos de decisión en el ámbito de la banca en España. El objetivo de WIB es convertirse en un referente para el sector financiero en materia de diversidad e inclusión de la mujer, dando </w:t>
      </w:r>
      <w:r>
        <w:rPr>
          <w:rFonts w:ascii="Arial" w:eastAsia="Arial" w:hAnsi="Arial" w:cs="Arial"/>
          <w:b/>
          <w:bCs/>
          <w:sz w:val="19"/>
          <w:szCs w:val="19"/>
        </w:rPr>
        <w:t xml:space="preserve">visibilidad al talento femenino e inspirando a las nuevas generaciones </w:t>
      </w:r>
      <w:r>
        <w:rPr>
          <w:rFonts w:ascii="Arial" w:eastAsia="Arial" w:hAnsi="Arial" w:cs="Arial"/>
          <w:sz w:val="19"/>
          <w:szCs w:val="19"/>
        </w:rPr>
        <w:t xml:space="preserve">a través de modelos de referencia. La iniciativa fue lanzada en marzo de 2022 con el respaldo de un grupo impulsor de profesionales de siete entidades financieras con presencia en España (Banco Sabadell, Banco Santander, BBVA, BNY (antes BNY Mellon), Citi, Deutsche Bank e ING y de la Asociación Española de Banca (AEB). Hoy cuenta con el apoyo de profesionales de 20 entidades entre las que están Andbank, Bank of America, Barclays, CaixaBank, CNBK (antes Banco Caminos), Crédit Agricole, Renta 4 banco, Société Générale y Singular Bank. </w:t>
      </w:r>
    </w:p>
    <w:p w14:paraId="784C4CCC" w14:textId="77777777" w:rsidR="00363653" w:rsidRDefault="00363653">
      <w:pPr>
        <w:jc w:val="both"/>
        <w:rPr>
          <w:rFonts w:ascii="Arial" w:eastAsia="Arial" w:hAnsi="Arial" w:cs="Arial"/>
          <w:sz w:val="19"/>
          <w:szCs w:val="19"/>
        </w:rPr>
      </w:pPr>
    </w:p>
    <w:p w14:paraId="222B29F8" w14:textId="77777777" w:rsidR="00363653" w:rsidRDefault="00363653">
      <w:pPr>
        <w:jc w:val="both"/>
        <w:rPr>
          <w:rFonts w:ascii="Arial" w:eastAsia="Arial" w:hAnsi="Arial" w:cs="Arial"/>
          <w:sz w:val="19"/>
          <w:szCs w:val="19"/>
        </w:rPr>
      </w:pPr>
    </w:p>
    <w:p w14:paraId="6CF5CC4F" w14:textId="77777777" w:rsidR="00363653" w:rsidRDefault="00363653">
      <w:pPr>
        <w:jc w:val="both"/>
        <w:rPr>
          <w:rFonts w:ascii="Arial" w:eastAsia="Arial" w:hAnsi="Arial" w:cs="Arial"/>
          <w:sz w:val="19"/>
          <w:szCs w:val="19"/>
        </w:rPr>
      </w:pPr>
    </w:p>
    <w:sectPr w:rsidR="00363653">
      <w:headerReference w:type="even" r:id="rId11"/>
      <w:headerReference w:type="default" r:id="rId12"/>
      <w:headerReference w:type="first" r:id="rId13"/>
      <w:pgSz w:w="11906" w:h="16838"/>
      <w:pgMar w:top="1417" w:right="1701" w:bottom="1417" w:left="1701" w:header="708" w:footer="70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EFE3D70" w14:textId="77777777" w:rsidR="001E003E" w:rsidRDefault="001E003E">
      <w:r>
        <w:separator/>
      </w:r>
    </w:p>
  </w:endnote>
  <w:endnote w:type="continuationSeparator" w:id="0">
    <w:p w14:paraId="5067F2F9" w14:textId="77777777" w:rsidR="001E003E" w:rsidRDefault="001E003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altName w:val="Calibri"/>
    <w:charset w:val="00"/>
    <w:family w:val="auto"/>
    <w:pitch w:val="default"/>
    <w:embedRegular r:id="rId1" w:fontKey="{ACE439A0-C34D-4199-9ECD-677820F73255}"/>
  </w:font>
  <w:font w:name="Calibri">
    <w:panose1 w:val="020F0502020204030204"/>
    <w:charset w:val="00"/>
    <w:family w:val="swiss"/>
    <w:pitch w:val="variable"/>
    <w:sig w:usb0="E4002EFF" w:usb1="C200247B" w:usb2="00000009" w:usb3="00000000" w:csb0="000001FF" w:csb1="00000000"/>
    <w:embedRegular r:id="rId2" w:fontKey="{5C222287-00F9-4071-B882-381F6A1F3718}"/>
    <w:embedBold r:id="rId3" w:fontKey="{AFD10FBB-3C25-4C02-AB9A-101350320DF2}"/>
    <w:embedItalic r:id="rId4" w:fontKey="{241852D5-95F2-4227-901D-5A2E708789A0}"/>
  </w:font>
  <w:font w:name="Play">
    <w:charset w:val="00"/>
    <w:family w:val="auto"/>
    <w:pitch w:val="default"/>
    <w:embedRegular r:id="rId5" w:fontKey="{2FCE1651-A997-4596-BAED-5C517768B8F3}"/>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embedRegular r:id="rId6" w:fontKey="{4C14764C-4CA0-4F0E-8AB0-9EE260D8C4D4}"/>
  </w:font>
  <w:font w:name="Aptos">
    <w:charset w:val="00"/>
    <w:family w:val="swiss"/>
    <w:pitch w:val="variable"/>
    <w:sig w:usb0="20000287" w:usb1="00000003" w:usb2="00000000" w:usb3="00000000" w:csb0="0000019F" w:csb1="00000000"/>
    <w:embedRegular r:id="rId7" w:fontKey="{4471DAAE-9F2B-459A-820D-61FD8E96549D}"/>
    <w:embedBold r:id="rId8" w:fontKey="{B72E8A55-0591-460B-9B8A-7688EB5FB139}"/>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D196CE6" w14:textId="77777777" w:rsidR="001E003E" w:rsidRDefault="001E003E">
      <w:r>
        <w:separator/>
      </w:r>
    </w:p>
  </w:footnote>
  <w:footnote w:type="continuationSeparator" w:id="0">
    <w:p w14:paraId="181A612B" w14:textId="77777777" w:rsidR="001E003E" w:rsidRDefault="001E003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F0376E" w14:textId="7DB1FC89" w:rsidR="00245E9C" w:rsidRDefault="00245E9C">
    <w:pPr>
      <w:pStyle w:val="Encabezado"/>
    </w:pPr>
    <w:r>
      <w:rPr>
        <w:noProof/>
      </w:rPr>
      <mc:AlternateContent>
        <mc:Choice Requires="wps">
          <w:drawing>
            <wp:anchor distT="0" distB="0" distL="0" distR="0" simplePos="0" relativeHeight="251660288" behindDoc="0" locked="0" layoutInCell="1" allowOverlap="1" wp14:anchorId="303202F7" wp14:editId="4272EAA5">
              <wp:simplePos x="635" y="635"/>
              <wp:positionH relativeFrom="page">
                <wp:align>center</wp:align>
              </wp:positionH>
              <wp:positionV relativeFrom="page">
                <wp:align>top</wp:align>
              </wp:positionV>
              <wp:extent cx="346075" cy="345440"/>
              <wp:effectExtent l="0" t="0" r="15875" b="16510"/>
              <wp:wrapNone/>
              <wp:docPr id="2078143315" name="Text Box 2" descr="Public">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346075" cy="345440"/>
                      </a:xfrm>
                      <a:prstGeom prst="rect">
                        <a:avLst/>
                      </a:prstGeom>
                      <a:noFill/>
                      <a:ln>
                        <a:noFill/>
                      </a:ln>
                    </wps:spPr>
                    <wps:txbx>
                      <w:txbxContent>
                        <w:p w14:paraId="1C520970" w14:textId="1240D339" w:rsidR="00245E9C" w:rsidRPr="00245E9C" w:rsidRDefault="00245E9C" w:rsidP="00245E9C">
                          <w:pPr>
                            <w:rPr>
                              <w:rFonts w:ascii="Aptos" w:eastAsia="Aptos" w:hAnsi="Aptos" w:cs="Aptos"/>
                              <w:noProof/>
                              <w:color w:val="808080"/>
                              <w:sz w:val="20"/>
                              <w:szCs w:val="20"/>
                            </w:rPr>
                          </w:pPr>
                          <w:r w:rsidRPr="00245E9C">
                            <w:rPr>
                              <w:rFonts w:ascii="Aptos" w:eastAsia="Aptos" w:hAnsi="Aptos" w:cs="Aptos"/>
                              <w:noProof/>
                              <w:color w:val="808080"/>
                              <w:sz w:val="20"/>
                              <w:szCs w:val="20"/>
                            </w:rPr>
                            <w:t>Public</w:t>
                          </w:r>
                        </w:p>
                      </w:txbxContent>
                    </wps:txbx>
                    <wps:bodyPr rot="0" spcFirstLastPara="0" vertOverflow="overflow" horzOverflow="overflow" vert="horz" wrap="none" lIns="0" tIns="190500" rIns="0" bIns="0" numCol="1" spcCol="0" rtlCol="0" fromWordArt="0" anchor="t" anchorCtr="0" forceAA="0" compatLnSpc="1">
                      <a:prstTxWarp prst="textNoShape">
                        <a:avLst/>
                      </a:prstTxWarp>
                      <a:spAutoFit/>
                    </wps:bodyPr>
                  </wps:wsp>
                </a:graphicData>
              </a:graphic>
            </wp:anchor>
          </w:drawing>
        </mc:Choice>
        <mc:Fallback>
          <w:pict>
            <v:shapetype w14:anchorId="303202F7" id="_x0000_t202" coordsize="21600,21600" o:spt="202" path="m,l,21600r21600,l21600,xe">
              <v:stroke joinstyle="miter"/>
              <v:path gradientshapeok="t" o:connecttype="rect"/>
            </v:shapetype>
            <v:shape id="Text Box 2" o:spid="_x0000_s1026" type="#_x0000_t202" alt="Public" style="position:absolute;margin-left:0;margin-top:0;width:27.25pt;height:27.2pt;z-index:251660288;visibility:visible;mso-wrap-style:none;mso-wrap-distance-left:0;mso-wrap-distance-top:0;mso-wrap-distance-right:0;mso-wrap-distance-bottom:0;mso-position-horizontal:center;mso-position-horizontal-relative:page;mso-position-vertical:top;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" filled="f" stroked="f">
              <v:textbox style="mso-fit-shape-to-text:t" inset="0,15pt,0,0">
                <w:txbxContent>
                  <w:p w14:paraId="1C520970" w14:textId="1240D339" w:rsidR="00245E9C" w:rsidRPr="00245E9C" w:rsidRDefault="00245E9C" w:rsidP="00245E9C">
                    <w:pPr>
                      <w:rPr>
                        <w:rFonts w:ascii="Aptos" w:eastAsia="Aptos" w:hAnsi="Aptos" w:cs="Aptos"/>
                        <w:noProof/>
                        <w:color w:val="808080"/>
                        <w:sz w:val="20"/>
                        <w:szCs w:val="20"/>
                      </w:rPr>
                    </w:pPr>
                    <w:r w:rsidRPr="00245E9C">
                      <w:rPr>
                        <w:rFonts w:ascii="Aptos" w:eastAsia="Aptos" w:hAnsi="Aptos" w:cs="Aptos"/>
                        <w:noProof/>
                        <w:color w:val="808080"/>
                        <w:sz w:val="20"/>
                        <w:szCs w:val="20"/>
                      </w:rPr>
                      <w:t>Public</w:t>
                    </w:r>
                  </w:p>
                </w:txbxContent>
              </v:textbox>
              <w10:wrap anchorx="page" anchory="page"/>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E70B54C" w14:textId="1F960258" w:rsidR="00363653" w:rsidRDefault="00245E9C">
    <w:pPr>
      <w:pBdr>
        <w:top w:val="nil"/>
        <w:left w:val="nil"/>
        <w:bottom w:val="nil"/>
        <w:right w:val="nil"/>
        <w:between w:val="nil"/>
      </w:pBdr>
      <w:tabs>
        <w:tab w:val="center" w:pos="4252"/>
        <w:tab w:val="right" w:pos="8504"/>
      </w:tabs>
      <w:rPr>
        <w:color w:val="000000"/>
      </w:rPr>
    </w:pPr>
    <w:r>
      <w:rPr>
        <w:noProof/>
      </w:rPr>
      <w:drawing>
        <wp:anchor distT="0" distB="0" distL="114300" distR="114300" simplePos="0" relativeHeight="251658240" behindDoc="0" locked="0" layoutInCell="1" hidden="0" allowOverlap="1" wp14:anchorId="0994A2E0" wp14:editId="26392E96">
          <wp:simplePos x="0" y="0"/>
          <wp:positionH relativeFrom="column">
            <wp:posOffset>-323848</wp:posOffset>
          </wp:positionH>
          <wp:positionV relativeFrom="paragraph">
            <wp:posOffset>-286382</wp:posOffset>
          </wp:positionV>
          <wp:extent cx="800100" cy="793750"/>
          <wp:effectExtent l="0" t="0" r="0" b="0"/>
          <wp:wrapTopAndBottom distT="0" distB="0"/>
          <wp:docPr id="1410970238" name="image1.jpg" descr="Logotipo, nombre de la empresa&#10;&#10;El contenido generado por IA puede ser incorrecto."/>
          <wp:cNvGraphicFramePr/>
          <a:graphic xmlns:a="http://schemas.openxmlformats.org/drawingml/2006/main">
            <a:graphicData uri="http://schemas.openxmlformats.org/drawingml/2006/picture">
              <pic:pic xmlns:pic="http://schemas.openxmlformats.org/drawingml/2006/picture">
                <pic:nvPicPr>
                  <pic:cNvPr id="0" name="image1.jpg" descr="Logotipo, nombre de la empresa&#10;&#10;El contenido generado por IA puede ser incorrecto."/>
                  <pic:cNvPicPr preferRelativeResize="0"/>
                </pic:nvPicPr>
                <pic:blipFill>
                  <a:blip r:embed="rId1"/>
                  <a:srcRect/>
                  <a:stretch>
                    <a:fillRect/>
                  </a:stretch>
                </pic:blipFill>
                <pic:spPr>
                  <a:xfrm>
                    <a:off x="0" y="0"/>
                    <a:ext cx="800100" cy="793750"/>
                  </a:xfrm>
                  <a:prstGeom prst="rect">
                    <a:avLst/>
                  </a:prstGeom>
                  <a:ln/>
                </pic:spPr>
              </pic:pic>
            </a:graphicData>
          </a:graphic>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AC7F2D" w14:textId="2DC1831B" w:rsidR="00245E9C" w:rsidRDefault="00245E9C">
    <w:pPr>
      <w:pStyle w:val="Encabezado"/>
    </w:pPr>
    <w:r>
      <w:rPr>
        <w:noProof/>
      </w:rPr>
      <mc:AlternateContent>
        <mc:Choice Requires="wps">
          <w:drawing>
            <wp:anchor distT="0" distB="0" distL="0" distR="0" simplePos="0" relativeHeight="251659264" behindDoc="0" locked="0" layoutInCell="1" allowOverlap="1" wp14:anchorId="73CF6A96" wp14:editId="78B4C529">
              <wp:simplePos x="635" y="635"/>
              <wp:positionH relativeFrom="page">
                <wp:align>center</wp:align>
              </wp:positionH>
              <wp:positionV relativeFrom="page">
                <wp:align>top</wp:align>
              </wp:positionV>
              <wp:extent cx="346075" cy="345440"/>
              <wp:effectExtent l="0" t="0" r="15875" b="16510"/>
              <wp:wrapNone/>
              <wp:docPr id="790706147" name="Text Box 1" descr="Public">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346075" cy="345440"/>
                      </a:xfrm>
                      <a:prstGeom prst="rect">
                        <a:avLst/>
                      </a:prstGeom>
                      <a:noFill/>
                      <a:ln>
                        <a:noFill/>
                      </a:ln>
                    </wps:spPr>
                    <wps:txbx>
                      <w:txbxContent>
                        <w:p w14:paraId="1C99B9EC" w14:textId="507E660E" w:rsidR="00245E9C" w:rsidRPr="00245E9C" w:rsidRDefault="00245E9C" w:rsidP="00245E9C">
                          <w:pPr>
                            <w:rPr>
                              <w:rFonts w:ascii="Aptos" w:eastAsia="Aptos" w:hAnsi="Aptos" w:cs="Aptos"/>
                              <w:noProof/>
                              <w:color w:val="808080"/>
                              <w:sz w:val="20"/>
                              <w:szCs w:val="20"/>
                            </w:rPr>
                          </w:pPr>
                          <w:r w:rsidRPr="00245E9C">
                            <w:rPr>
                              <w:rFonts w:ascii="Aptos" w:eastAsia="Aptos" w:hAnsi="Aptos" w:cs="Aptos"/>
                              <w:noProof/>
                              <w:color w:val="808080"/>
                              <w:sz w:val="20"/>
                              <w:szCs w:val="20"/>
                            </w:rPr>
                            <w:t>Public</w:t>
                          </w:r>
                        </w:p>
                      </w:txbxContent>
                    </wps:txbx>
                    <wps:bodyPr rot="0" spcFirstLastPara="0" vertOverflow="overflow" horzOverflow="overflow" vert="horz" wrap="none" lIns="0" tIns="190500" rIns="0" bIns="0" numCol="1" spcCol="0" rtlCol="0" fromWordArt="0" anchor="t" anchorCtr="0" forceAA="0" compatLnSpc="1">
                      <a:prstTxWarp prst="textNoShape">
                        <a:avLst/>
                      </a:prstTxWarp>
                      <a:spAutoFit/>
                    </wps:bodyPr>
                  </wps:wsp>
                </a:graphicData>
              </a:graphic>
            </wp:anchor>
          </w:drawing>
        </mc:Choice>
        <mc:Fallback>
          <w:pict>
            <v:shapetype w14:anchorId="73CF6A96" id="_x0000_t202" coordsize="21600,21600" o:spt="202" path="m,l,21600r21600,l21600,xe">
              <v:stroke joinstyle="miter"/>
              <v:path gradientshapeok="t" o:connecttype="rect"/>
            </v:shapetype>
            <v:shape id="Text Box 1" o:spid="_x0000_s1027" type="#_x0000_t202" alt="Public" style="position:absolute;margin-left:0;margin-top:0;width:27.25pt;height:27.2pt;z-index:251659264;visibility:visible;mso-wrap-style:none;mso-wrap-distance-left:0;mso-wrap-distance-top:0;mso-wrap-distance-right:0;mso-wrap-distance-bottom:0;mso-position-horizontal:center;mso-position-horizontal-relative:page;mso-position-vertical:top;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" filled="f" stroked="f">
              <v:textbox style="mso-fit-shape-to-text:t" inset="0,15pt,0,0">
                <w:txbxContent>
                  <w:p w14:paraId="1C99B9EC" w14:textId="507E660E" w:rsidR="00245E9C" w:rsidRPr="00245E9C" w:rsidRDefault="00245E9C" w:rsidP="00245E9C">
                    <w:pPr>
                      <w:rPr>
                        <w:rFonts w:ascii="Aptos" w:eastAsia="Aptos" w:hAnsi="Aptos" w:cs="Aptos"/>
                        <w:noProof/>
                        <w:color w:val="808080"/>
                        <w:sz w:val="20"/>
                        <w:szCs w:val="20"/>
                      </w:rPr>
                    </w:pPr>
                    <w:r w:rsidRPr="00245E9C">
                      <w:rPr>
                        <w:rFonts w:ascii="Aptos" w:eastAsia="Aptos" w:hAnsi="Aptos" w:cs="Aptos"/>
                        <w:noProof/>
                        <w:color w:val="808080"/>
                        <w:sz w:val="20"/>
                        <w:szCs w:val="20"/>
                      </w:rPr>
                      <w:t>Public</w:t>
                    </w:r>
                  </w:p>
                </w:txbxContent>
              </v:textbox>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B47322D"/>
    <w:multiLevelType w:val="multilevel"/>
    <w:tmpl w:val="43883854"/>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
      <w:lvlJc w:val="left"/>
      <w:pPr>
        <w:ind w:left="1440" w:hanging="360"/>
      </w:pPr>
      <w:rPr>
        <w:rFonts w:ascii="Noto Sans Symbols" w:eastAsia="Noto Sans Symbols" w:hAnsi="Noto Sans Symbols" w:cs="Noto Sans Symbols"/>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num w:numId="1" w16cid:durableId="22565425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50"/>
  <w:embedTrueTypeFonts/>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63653"/>
    <w:rsid w:val="0009280F"/>
    <w:rsid w:val="001E003E"/>
    <w:rsid w:val="001F6454"/>
    <w:rsid w:val="00212E4B"/>
    <w:rsid w:val="00245E9C"/>
    <w:rsid w:val="003071F5"/>
    <w:rsid w:val="00322420"/>
    <w:rsid w:val="00363653"/>
    <w:rsid w:val="004B44E0"/>
    <w:rsid w:val="00637210"/>
    <w:rsid w:val="00640B15"/>
    <w:rsid w:val="006729EE"/>
    <w:rsid w:val="00717F67"/>
    <w:rsid w:val="00744548"/>
    <w:rsid w:val="00744A03"/>
    <w:rsid w:val="00946193"/>
    <w:rsid w:val="009703C2"/>
    <w:rsid w:val="00AD22B4"/>
    <w:rsid w:val="00AD45C8"/>
    <w:rsid w:val="00B11E0C"/>
    <w:rsid w:val="00B245E4"/>
    <w:rsid w:val="00E80A1A"/>
    <w:rsid w:val="00F11702"/>
    <w:rsid w:val="00F5307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0DD9514"/>
  <w15:docId w15:val="{74824BC2-8788-424F-9371-F5A400EB1F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s"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uiPriority w:val="9"/>
    <w:qFormat/>
    <w:pPr>
      <w:keepNext/>
      <w:keepLines/>
      <w:spacing w:before="360" w:after="80"/>
      <w:outlineLvl w:val="0"/>
    </w:pPr>
    <w:rPr>
      <w:rFonts w:ascii="Play" w:eastAsia="Play" w:hAnsi="Play" w:cs="Play"/>
      <w:color w:val="0F4761"/>
      <w:sz w:val="40"/>
      <w:szCs w:val="40"/>
    </w:rPr>
  </w:style>
  <w:style w:type="paragraph" w:styleId="Ttulo2">
    <w:name w:val="heading 2"/>
    <w:basedOn w:val="Normal"/>
    <w:next w:val="Normal"/>
    <w:uiPriority w:val="9"/>
    <w:semiHidden/>
    <w:unhideWhenUsed/>
    <w:qFormat/>
    <w:pPr>
      <w:keepNext/>
      <w:keepLines/>
      <w:spacing w:before="160" w:after="80"/>
      <w:outlineLvl w:val="1"/>
    </w:pPr>
    <w:rPr>
      <w:rFonts w:ascii="Play" w:eastAsia="Play" w:hAnsi="Play" w:cs="Play"/>
      <w:color w:val="0F4761"/>
      <w:sz w:val="32"/>
      <w:szCs w:val="32"/>
    </w:rPr>
  </w:style>
  <w:style w:type="paragraph" w:styleId="Ttulo3">
    <w:name w:val="heading 3"/>
    <w:basedOn w:val="Normal"/>
    <w:next w:val="Normal"/>
    <w:uiPriority w:val="9"/>
    <w:semiHidden/>
    <w:unhideWhenUsed/>
    <w:qFormat/>
    <w:pPr>
      <w:keepNext/>
      <w:keepLines/>
      <w:spacing w:before="160" w:after="80"/>
      <w:outlineLvl w:val="2"/>
    </w:pPr>
    <w:rPr>
      <w:color w:val="0F4761"/>
      <w:sz w:val="28"/>
      <w:szCs w:val="28"/>
    </w:rPr>
  </w:style>
  <w:style w:type="paragraph" w:styleId="Ttulo4">
    <w:name w:val="heading 4"/>
    <w:basedOn w:val="Normal"/>
    <w:next w:val="Normal"/>
    <w:uiPriority w:val="9"/>
    <w:semiHidden/>
    <w:unhideWhenUsed/>
    <w:qFormat/>
    <w:pPr>
      <w:keepNext/>
      <w:keepLines/>
      <w:spacing w:before="80" w:after="40"/>
      <w:outlineLvl w:val="3"/>
    </w:pPr>
    <w:rPr>
      <w:i/>
      <w:iCs/>
      <w:color w:val="0F4761"/>
    </w:rPr>
  </w:style>
  <w:style w:type="paragraph" w:styleId="Ttulo5">
    <w:name w:val="heading 5"/>
    <w:basedOn w:val="Normal"/>
    <w:next w:val="Normal"/>
    <w:uiPriority w:val="9"/>
    <w:semiHidden/>
    <w:unhideWhenUsed/>
    <w:qFormat/>
    <w:pPr>
      <w:keepNext/>
      <w:keepLines/>
      <w:spacing w:before="80" w:after="40"/>
      <w:outlineLvl w:val="4"/>
    </w:pPr>
    <w:rPr>
      <w:color w:val="0F4761"/>
    </w:rPr>
  </w:style>
  <w:style w:type="paragraph" w:styleId="Ttulo6">
    <w:name w:val="heading 6"/>
    <w:basedOn w:val="Normal"/>
    <w:next w:val="Normal"/>
    <w:uiPriority w:val="9"/>
    <w:semiHidden/>
    <w:unhideWhenUsed/>
    <w:qFormat/>
    <w:pPr>
      <w:keepNext/>
      <w:keepLines/>
      <w:spacing w:before="40"/>
      <w:outlineLvl w:val="5"/>
    </w:pPr>
    <w:rPr>
      <w:i/>
      <w:iCs/>
      <w:color w:val="595959"/>
    </w:rPr>
  </w:style>
  <w:style w:type="paragraph" w:styleId="Ttulo7">
    <w:name w:val="heading 7"/>
    <w:basedOn w:val="Normal"/>
    <w:next w:val="Normal"/>
    <w:link w:val="Ttulo7Car"/>
    <w:uiPriority w:val="9"/>
    <w:semiHidden/>
    <w:unhideWhenUsed/>
    <w:qFormat/>
    <w:rsid w:val="00F07106"/>
    <w:pPr>
      <w:keepNext/>
      <w:keepLines/>
      <w:spacing w:before="4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F07106"/>
    <w:pPr>
      <w:keepNext/>
      <w:keepLines/>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F07106"/>
    <w:pPr>
      <w:keepNext/>
      <w:keepLines/>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Normal"/>
    <w:tblPr>
      <w:tblCellMar>
        <w:top w:w="100" w:type="dxa"/>
        <w:left w:w="100" w:type="dxa"/>
        <w:bottom w:w="100" w:type="dxa"/>
        <w:right w:w="100" w:type="dxa"/>
      </w:tblCellMar>
    </w:tblPr>
  </w:style>
  <w:style w:type="paragraph" w:styleId="Ttulo">
    <w:name w:val="Title"/>
    <w:basedOn w:val="Normal"/>
    <w:next w:val="Normal"/>
    <w:uiPriority w:val="10"/>
    <w:qFormat/>
    <w:pPr>
      <w:spacing w:after="80"/>
    </w:pPr>
    <w:rPr>
      <w:rFonts w:ascii="Play" w:eastAsia="Play" w:hAnsi="Play" w:cs="Play"/>
      <w:sz w:val="56"/>
      <w:szCs w:val="56"/>
    </w:rPr>
  </w:style>
  <w:style w:type="table" w:customStyle="1" w:styleId="TableNormal0">
    <w:name w:val="TableNormal"/>
    <w:tblPr>
      <w:tblCellMar>
        <w:top w:w="100" w:type="dxa"/>
        <w:left w:w="100" w:type="dxa"/>
        <w:bottom w:w="100" w:type="dxa"/>
        <w:right w:w="100" w:type="dxa"/>
      </w:tblCellMar>
    </w:tblPr>
  </w:style>
  <w:style w:type="character" w:customStyle="1" w:styleId="Ttulo1Car">
    <w:name w:val="Título 1 Car"/>
    <w:basedOn w:val="Fuentedeprrafopredeter"/>
    <w:uiPriority w:val="9"/>
    <w:rsid w:val="00F07106"/>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uiPriority w:val="9"/>
    <w:semiHidden/>
    <w:rsid w:val="00F07106"/>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uiPriority w:val="9"/>
    <w:semiHidden/>
    <w:rsid w:val="00F07106"/>
    <w:rPr>
      <w:rFonts w:eastAsiaTheme="majorEastAsia" w:cstheme="majorBidi"/>
      <w:color w:val="0F4761" w:themeColor="accent1" w:themeShade="BF"/>
      <w:sz w:val="28"/>
      <w:szCs w:val="28"/>
    </w:rPr>
  </w:style>
  <w:style w:type="character" w:customStyle="1" w:styleId="Ttulo4Car">
    <w:name w:val="Título 4 Car"/>
    <w:basedOn w:val="Fuentedeprrafopredeter"/>
    <w:uiPriority w:val="9"/>
    <w:semiHidden/>
    <w:rsid w:val="00F07106"/>
    <w:rPr>
      <w:rFonts w:eastAsiaTheme="majorEastAsia" w:cstheme="majorBidi"/>
      <w:i/>
      <w:iCs/>
      <w:color w:val="0F4761" w:themeColor="accent1" w:themeShade="BF"/>
    </w:rPr>
  </w:style>
  <w:style w:type="character" w:customStyle="1" w:styleId="Ttulo5Car">
    <w:name w:val="Título 5 Car"/>
    <w:basedOn w:val="Fuentedeprrafopredeter"/>
    <w:uiPriority w:val="9"/>
    <w:semiHidden/>
    <w:rsid w:val="00F07106"/>
    <w:rPr>
      <w:rFonts w:eastAsiaTheme="majorEastAsia" w:cstheme="majorBidi"/>
      <w:color w:val="0F4761" w:themeColor="accent1" w:themeShade="BF"/>
    </w:rPr>
  </w:style>
  <w:style w:type="character" w:customStyle="1" w:styleId="Ttulo6Car">
    <w:name w:val="Título 6 Car"/>
    <w:basedOn w:val="Fuentedeprrafopredeter"/>
    <w:uiPriority w:val="9"/>
    <w:semiHidden/>
    <w:rsid w:val="00F07106"/>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F07106"/>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F07106"/>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F07106"/>
    <w:rPr>
      <w:rFonts w:eastAsiaTheme="majorEastAsia" w:cstheme="majorBidi"/>
      <w:color w:val="272727" w:themeColor="text1" w:themeTint="D8"/>
    </w:rPr>
  </w:style>
  <w:style w:type="character" w:customStyle="1" w:styleId="TtuloCar">
    <w:name w:val="Título Car"/>
    <w:basedOn w:val="Fuentedeprrafopredeter"/>
    <w:uiPriority w:val="10"/>
    <w:rsid w:val="00F07106"/>
    <w:rPr>
      <w:rFonts w:asciiTheme="majorHAnsi" w:eastAsiaTheme="majorEastAsia" w:hAnsiTheme="majorHAnsi" w:cstheme="majorBidi"/>
      <w:spacing w:val="-10"/>
      <w:kern w:val="28"/>
      <w:sz w:val="56"/>
      <w:szCs w:val="56"/>
    </w:rPr>
  </w:style>
  <w:style w:type="character" w:customStyle="1" w:styleId="SubttuloCar">
    <w:name w:val="Subtítulo Car"/>
    <w:basedOn w:val="Fuentedeprrafopredeter"/>
    <w:uiPriority w:val="11"/>
    <w:rsid w:val="00F07106"/>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F07106"/>
    <w:pPr>
      <w:spacing w:before="160"/>
      <w:jc w:val="center"/>
    </w:pPr>
    <w:rPr>
      <w:i/>
      <w:iCs/>
      <w:color w:val="404040" w:themeColor="text1" w:themeTint="BF"/>
    </w:rPr>
  </w:style>
  <w:style w:type="character" w:customStyle="1" w:styleId="CitaCar">
    <w:name w:val="Cita Car"/>
    <w:basedOn w:val="Fuentedeprrafopredeter"/>
    <w:link w:val="Cita"/>
    <w:uiPriority w:val="29"/>
    <w:rsid w:val="00F07106"/>
    <w:rPr>
      <w:i/>
      <w:iCs/>
      <w:color w:val="404040" w:themeColor="text1" w:themeTint="BF"/>
    </w:rPr>
  </w:style>
  <w:style w:type="paragraph" w:styleId="Prrafodelista">
    <w:name w:val="List Paragraph"/>
    <w:basedOn w:val="Normal"/>
    <w:uiPriority w:val="34"/>
    <w:qFormat/>
    <w:rsid w:val="00F07106"/>
    <w:pPr>
      <w:ind w:left="720"/>
      <w:contextualSpacing/>
    </w:pPr>
  </w:style>
  <w:style w:type="character" w:styleId="nfasisintenso">
    <w:name w:val="Intense Emphasis"/>
    <w:basedOn w:val="Fuentedeprrafopredeter"/>
    <w:uiPriority w:val="21"/>
    <w:qFormat/>
    <w:rsid w:val="00F07106"/>
    <w:rPr>
      <w:i/>
      <w:iCs/>
      <w:color w:val="0F4761" w:themeColor="accent1" w:themeShade="BF"/>
    </w:rPr>
  </w:style>
  <w:style w:type="paragraph" w:styleId="Citadestacada">
    <w:name w:val="Intense Quote"/>
    <w:basedOn w:val="Normal"/>
    <w:next w:val="Normal"/>
    <w:link w:val="CitadestacadaCar"/>
    <w:uiPriority w:val="30"/>
    <w:qFormat/>
    <w:rsid w:val="00F0710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F07106"/>
    <w:rPr>
      <w:i/>
      <w:iCs/>
      <w:color w:val="0F4761" w:themeColor="accent1" w:themeShade="BF"/>
    </w:rPr>
  </w:style>
  <w:style w:type="character" w:styleId="Referenciaintensa">
    <w:name w:val="Intense Reference"/>
    <w:basedOn w:val="Fuentedeprrafopredeter"/>
    <w:uiPriority w:val="32"/>
    <w:qFormat/>
    <w:rsid w:val="00F07106"/>
    <w:rPr>
      <w:b/>
      <w:bCs/>
      <w:smallCaps/>
      <w:color w:val="0F4761" w:themeColor="accent1" w:themeShade="BF"/>
      <w:spacing w:val="5"/>
    </w:rPr>
  </w:style>
  <w:style w:type="paragraph" w:styleId="Revisin">
    <w:name w:val="Revision"/>
    <w:hidden/>
    <w:uiPriority w:val="99"/>
    <w:semiHidden/>
    <w:rsid w:val="00F07106"/>
    <w:rPr>
      <w:rFonts w:eastAsia="Aptos"/>
    </w:rPr>
  </w:style>
  <w:style w:type="paragraph" w:styleId="Encabezado">
    <w:name w:val="header"/>
    <w:basedOn w:val="Normal"/>
    <w:link w:val="EncabezadoCar"/>
    <w:uiPriority w:val="99"/>
    <w:unhideWhenUsed/>
    <w:rsid w:val="00F07106"/>
    <w:pPr>
      <w:tabs>
        <w:tab w:val="center" w:pos="4252"/>
        <w:tab w:val="right" w:pos="8504"/>
      </w:tabs>
    </w:pPr>
  </w:style>
  <w:style w:type="character" w:customStyle="1" w:styleId="EncabezadoCar">
    <w:name w:val="Encabezado Car"/>
    <w:basedOn w:val="Fuentedeprrafopredeter"/>
    <w:link w:val="Encabezado"/>
    <w:uiPriority w:val="99"/>
    <w:rsid w:val="00F07106"/>
    <w:rPr>
      <w:rFonts w:ascii="Calibri" w:eastAsia="Aptos" w:hAnsi="Calibri" w:cs="Calibri"/>
      <w:kern w:val="0"/>
    </w:rPr>
  </w:style>
  <w:style w:type="paragraph" w:styleId="Piedepgina">
    <w:name w:val="footer"/>
    <w:basedOn w:val="Normal"/>
    <w:link w:val="PiedepginaCar"/>
    <w:uiPriority w:val="99"/>
    <w:unhideWhenUsed/>
    <w:rsid w:val="00F07106"/>
    <w:pPr>
      <w:tabs>
        <w:tab w:val="center" w:pos="4252"/>
        <w:tab w:val="right" w:pos="8504"/>
      </w:tabs>
    </w:pPr>
  </w:style>
  <w:style w:type="character" w:customStyle="1" w:styleId="PiedepginaCar">
    <w:name w:val="Pie de página Car"/>
    <w:basedOn w:val="Fuentedeprrafopredeter"/>
    <w:link w:val="Piedepgina"/>
    <w:uiPriority w:val="99"/>
    <w:rsid w:val="00F07106"/>
    <w:rPr>
      <w:rFonts w:ascii="Calibri" w:eastAsia="Aptos" w:hAnsi="Calibri" w:cs="Calibri"/>
      <w:kern w:val="0"/>
    </w:rPr>
  </w:style>
  <w:style w:type="character" w:styleId="Refdecomentario">
    <w:name w:val="annotation reference"/>
    <w:basedOn w:val="Fuentedeprrafopredeter"/>
    <w:uiPriority w:val="99"/>
    <w:semiHidden/>
    <w:unhideWhenUsed/>
    <w:rsid w:val="00E047F1"/>
    <w:rPr>
      <w:sz w:val="16"/>
      <w:szCs w:val="16"/>
    </w:rPr>
  </w:style>
  <w:style w:type="paragraph" w:styleId="Textocomentario">
    <w:name w:val="annotation text"/>
    <w:basedOn w:val="Normal"/>
    <w:link w:val="TextocomentarioCar"/>
    <w:uiPriority w:val="99"/>
    <w:unhideWhenUsed/>
    <w:rsid w:val="00E047F1"/>
    <w:rPr>
      <w:sz w:val="20"/>
      <w:szCs w:val="20"/>
    </w:rPr>
  </w:style>
  <w:style w:type="character" w:customStyle="1" w:styleId="TextocomentarioCar">
    <w:name w:val="Texto comentario Car"/>
    <w:basedOn w:val="Fuentedeprrafopredeter"/>
    <w:link w:val="Textocomentario"/>
    <w:uiPriority w:val="99"/>
    <w:rsid w:val="00E047F1"/>
    <w:rPr>
      <w:rFonts w:ascii="Calibri" w:eastAsia="Aptos" w:hAnsi="Calibri" w:cs="Calibri"/>
      <w:kern w:val="0"/>
      <w:sz w:val="20"/>
      <w:szCs w:val="20"/>
    </w:rPr>
  </w:style>
  <w:style w:type="paragraph" w:styleId="Asuntodelcomentario">
    <w:name w:val="annotation subject"/>
    <w:basedOn w:val="Textocomentario"/>
    <w:next w:val="Textocomentario"/>
    <w:link w:val="AsuntodelcomentarioCar"/>
    <w:uiPriority w:val="99"/>
    <w:semiHidden/>
    <w:unhideWhenUsed/>
    <w:rsid w:val="00E047F1"/>
    <w:rPr>
      <w:b/>
      <w:bCs/>
    </w:rPr>
  </w:style>
  <w:style w:type="character" w:customStyle="1" w:styleId="AsuntodelcomentarioCar">
    <w:name w:val="Asunto del comentario Car"/>
    <w:basedOn w:val="TextocomentarioCar"/>
    <w:link w:val="Asuntodelcomentario"/>
    <w:uiPriority w:val="99"/>
    <w:semiHidden/>
    <w:rsid w:val="00E047F1"/>
    <w:rPr>
      <w:rFonts w:ascii="Calibri" w:eastAsia="Aptos" w:hAnsi="Calibri" w:cs="Calibri"/>
      <w:b/>
      <w:bCs/>
      <w:kern w:val="0"/>
      <w:sz w:val="20"/>
      <w:szCs w:val="20"/>
    </w:rPr>
  </w:style>
  <w:style w:type="character" w:styleId="Hipervnculo">
    <w:name w:val="Hyperlink"/>
    <w:basedOn w:val="Fuentedeprrafopredeter"/>
    <w:uiPriority w:val="99"/>
    <w:unhideWhenUsed/>
    <w:rsid w:val="00526419"/>
    <w:rPr>
      <w:color w:val="467886" w:themeColor="hyperlink"/>
      <w:u w:val="single"/>
    </w:rPr>
  </w:style>
  <w:style w:type="character" w:styleId="Mencinsinresolver">
    <w:name w:val="Unresolved Mention"/>
    <w:basedOn w:val="Fuentedeprrafopredeter"/>
    <w:uiPriority w:val="99"/>
    <w:semiHidden/>
    <w:unhideWhenUsed/>
    <w:rsid w:val="00526419"/>
    <w:rPr>
      <w:color w:val="605E5C"/>
      <w:shd w:val="clear" w:color="auto" w:fill="E1DFDD"/>
    </w:rPr>
  </w:style>
  <w:style w:type="paragraph" w:styleId="Subttulo">
    <w:name w:val="Subtitle"/>
    <w:basedOn w:val="Normal"/>
    <w:next w:val="Normal"/>
    <w:uiPriority w:val="11"/>
    <w:qFormat/>
    <w:rPr>
      <w:color w:val="595959"/>
      <w:sz w:val="28"/>
      <w:szCs w:val="28"/>
    </w:rPr>
  </w:style>
  <w:style w:type="paragraph" w:styleId="NormalWeb">
    <w:name w:val="Normal (Web)"/>
    <w:basedOn w:val="Normal"/>
    <w:uiPriority w:val="99"/>
    <w:semiHidden/>
    <w:unhideWhenUsed/>
    <w:rsid w:val="006729EE"/>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3.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012217d6-fa2d-4252-bcd9-57041eb1a1c4">
      <Terms xmlns="http://schemas.microsoft.com/office/infopath/2007/PartnerControls"/>
    </lcf76f155ced4ddcb4097134ff3c332f>
    <TaxCatchAll xmlns="2b6cbe70-0c33-48c9-8214-7f84aa4386b5" xsi:nil="true"/>
  </documentManagement>
</p:properties>
</file>

<file path=customXml/item2.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cTkdFFiSFwDOktAApJncuTy7skg==">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</go:docsCustomData>
</go:gDocsCustomXmlDataStorage>
</file>

<file path=customXml/item3.xml><?xml version="1.0" encoding="utf-8"?>
<ct:contentTypeSchema xmlns:ct="http://schemas.microsoft.com/office/2006/metadata/contentType" xmlns:ma="http://schemas.microsoft.com/office/2006/metadata/properties/metaAttributes" ct:_="" ma:_="" ma:contentTypeName="Document" ma:contentTypeID="0x010100D8E81568CB2A4644A7DEBC09171563E8" ma:contentTypeVersion="19" ma:contentTypeDescription="Create a new document." ma:contentTypeScope="" ma:versionID="ac48b1bf53791f2fab21004daac1224a">
  <xsd:schema xmlns:xsd="http://www.w3.org/2001/XMLSchema" xmlns:xs="http://www.w3.org/2001/XMLSchema" xmlns:p="http://schemas.microsoft.com/office/2006/metadata/properties" xmlns:ns2="2b6cbe70-0c33-48c9-8214-7f84aa4386b5" xmlns:ns3="012217d6-fa2d-4252-bcd9-57041eb1a1c4" targetNamespace="http://schemas.microsoft.com/office/2006/metadata/properties" ma:root="true" ma:fieldsID="27ad2443e3a0398ec464184b731ba92e" ns2:_="" ns3:_="">
    <xsd:import namespace="2b6cbe70-0c33-48c9-8214-7f84aa4386b5"/>
    <xsd:import namespace="012217d6-fa2d-4252-bcd9-57041eb1a1c4"/>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AutoTags" minOccurs="0"/>
                <xsd:element ref="ns3:MediaLengthInSeconds" minOccurs="0"/>
                <xsd:element ref="ns3:MediaServiceDateTaken" minOccurs="0"/>
                <xsd:element ref="ns3:MediaServiceGenerationTime" minOccurs="0"/>
                <xsd:element ref="ns3:MediaServiceEventHashCode" minOccurs="0"/>
                <xsd:element ref="ns3:MediaServiceAutoKeyPoints" minOccurs="0"/>
                <xsd:element ref="ns3:MediaServiceKeyPoints" minOccurs="0"/>
                <xsd:element ref="ns3:MediaServiceOCR" minOccurs="0"/>
                <xsd:element ref="ns3:MediaServiceLocation" minOccurs="0"/>
                <xsd:element ref="ns3:lcf76f155ced4ddcb4097134ff3c332f" minOccurs="0"/>
                <xsd:element ref="ns2:TaxCatchAll" minOccurs="0"/>
                <xsd:element ref="ns3:MediaServiceObjectDetectorVersions" minOccurs="0"/>
                <xsd:element ref="ns3:MediaServiceSearchProperties" minOccurs="0"/>
                <xsd:element ref="ns3: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b6cbe70-0c33-48c9-8214-7f84aa4386b5"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e406fa19-a254-4636-b82e-e8157df3be69}" ma:internalName="TaxCatchAll" ma:showField="CatchAllData" ma:web="2b6cbe70-0c33-48c9-8214-7f84aa4386b5">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012217d6-fa2d-4252-bcd9-57041eb1a1c4"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AutoTags" ma:index="12" nillable="true" ma:displayName="Tags" ma:internalName="MediaServiceAutoTags" ma:readOnly="true">
      <xsd:simpleType>
        <xsd:restriction base="dms:Text"/>
      </xsd:simpleType>
    </xsd:element>
    <xsd:element name="MediaLengthInSeconds" ma:index="13" nillable="true" ma:displayName="MediaLengthInSeconds" ma:hidden="true" ma:internalName="MediaLengthInSeconds" ma:readOnly="true">
      <xsd:simpleType>
        <xsd:restriction base="dms:Unknown"/>
      </xsd:simpleType>
    </xsd:element>
    <xsd:element name="MediaServiceDateTaken" ma:index="14" nillable="true" ma:displayName="MediaServiceDateTaken" ma:hidden="true" ma:internalName="MediaServiceDateTaken"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MediaServiceOCR" ma:index="19" nillable="true" ma:displayName="Extracted Text" ma:internalName="MediaServiceOCR" ma:readOnly="true">
      <xsd:simpleType>
        <xsd:restriction base="dms:Note">
          <xsd:maxLength value="255"/>
        </xsd:restriction>
      </xsd:simpleType>
    </xsd:element>
    <xsd:element name="MediaServiceLocation" ma:index="20" nillable="true" ma:displayName="Location" ma:internalName="MediaServiceLocation" ma:readOnly="true">
      <xsd:simpleType>
        <xsd:restriction base="dms:Text"/>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3432716f-e644-4490-80ed-d0744062505e"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7D971464-6B0B-467E-8D5F-50B522816416}">
  <ds:schemaRefs>
    <ds:schemaRef ds:uri="http://schemas.microsoft.com/office/2006/metadata/properties"/>
    <ds:schemaRef ds:uri="http://schemas.microsoft.com/office/infopath/2007/PartnerControls"/>
    <ds:schemaRef ds:uri="012217d6-fa2d-4252-bcd9-57041eb1a1c4"/>
    <ds:schemaRef ds:uri="2b6cbe70-0c33-48c9-8214-7f84aa4386b5"/>
  </ds:schemaRefs>
</ds:datastoreItem>
</file>

<file path=customXml/itemProps2.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3.xml><?xml version="1.0" encoding="utf-8"?>
<ds:datastoreItem xmlns:ds="http://schemas.openxmlformats.org/officeDocument/2006/customXml" ds:itemID="{7FA3899D-E4DC-450C-96D8-7F5FBFEA04F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b6cbe70-0c33-48c9-8214-7f84aa4386b5"/>
    <ds:schemaRef ds:uri="012217d6-fa2d-4252-bcd9-57041eb1a1c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73176D9F-A798-430A-86DE-A0698BCA8D2B}">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2</Pages>
  <Words>734</Words>
  <Characters>4041</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European Investment Bank</Company>
  <LinksUpToDate>false</LinksUpToDate>
  <CharactersWithSpaces>4766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Ana Cabirta</dc:creator>
  <cp:lastModifiedBy>Olatz Ocariz</cp:lastModifiedBy>
  <cp:revision>4</cp:revision>
  <dcterms:created xsi:type="dcterms:W3CDTF">2026-02-26T08:53:00Z</dcterms:created>
  <dcterms:modified xsi:type="dcterms:W3CDTF">2026-02-27T09:23:00Z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0x010100D8E81568CB2A4644A7DEBC09171563E8</vt:lpwstr>
  </property>
  <property fmtid="{D5CDD505-2E9C-101B-9397-08002B2CF9AE}" pid="3" name="MSIP_Label_1aaa69c8-0478-4e13-9e4c-38511e3b6774_Enabled">
    <vt:lpwstr>true</vt:lpwstr>
  </property>
  <property fmtid="{D5CDD505-2E9C-101B-9397-08002B2CF9AE}" pid="4" name="MSIP_Label_1aaa69c8-0478-4e13-9e4c-38511e3b6774_SetDate">
    <vt:lpwstr>2025-11-18T08:47:43Z</vt:lpwstr>
  </property>
  <property fmtid="{D5CDD505-2E9C-101B-9397-08002B2CF9AE}" pid="5" name="MSIP_Label_1aaa69c8-0478-4e13-9e4c-38511e3b6774_Method">
    <vt:lpwstr>Privileged</vt:lpwstr>
  </property>
  <property fmtid="{D5CDD505-2E9C-101B-9397-08002B2CF9AE}" pid="6" name="MSIP_Label_1aaa69c8-0478-4e13-9e4c-38511e3b6774_Name">
    <vt:lpwstr>1aaa69c8-0478-4e13-9e4c-38511e3b6774</vt:lpwstr>
  </property>
  <property fmtid="{D5CDD505-2E9C-101B-9397-08002B2CF9AE}" pid="7" name="MSIP_Label_1aaa69c8-0478-4e13-9e4c-38511e3b6774_SiteId">
    <vt:lpwstr>c9a7d621-4bc4-4407-b730-f428e656aa9e</vt:lpwstr>
  </property>
  <property fmtid="{D5CDD505-2E9C-101B-9397-08002B2CF9AE}" pid="8" name="MSIP_Label_1aaa69c8-0478-4e13-9e4c-38511e3b6774_ActionId">
    <vt:lpwstr>e4e75430-5500-4dcd-be64-a8807dc39828</vt:lpwstr>
  </property>
  <property fmtid="{D5CDD505-2E9C-101B-9397-08002B2CF9AE}" pid="9" name="MSIP_Label_1aaa69c8-0478-4e13-9e4c-38511e3b6774_ContentBits">
    <vt:lpwstr>0</vt:lpwstr>
  </property>
  <property fmtid="{D5CDD505-2E9C-101B-9397-08002B2CF9AE}" pid="10" name="MediaServiceImageTags">
    <vt:lpwstr/>
  </property>
  <property fmtid="{D5CDD505-2E9C-101B-9397-08002B2CF9AE}" pid="11" name="ClassificationContentMarkingHeaderShapeIds">
    <vt:lpwstr>2f2137e3,7bddf353,12319ff1</vt:lpwstr>
  </property>
  <property fmtid="{D5CDD505-2E9C-101B-9397-08002B2CF9AE}" pid="12" name="ClassificationContentMarkingHeaderFontProps">
    <vt:lpwstr>#808080,10,Aptos</vt:lpwstr>
  </property>
  <property fmtid="{D5CDD505-2E9C-101B-9397-08002B2CF9AE}" pid="13" name="ClassificationContentMarkingHeaderText">
    <vt:lpwstr>Public</vt:lpwstr>
  </property>
  <property fmtid="{D5CDD505-2E9C-101B-9397-08002B2CF9AE}" pid="14" name="MSIP_Label_a2b66c57-0888-49c5-9c42-f8765a044c7f_Enabled">
    <vt:lpwstr>true</vt:lpwstr>
  </property>
  <property fmtid="{D5CDD505-2E9C-101B-9397-08002B2CF9AE}" pid="15" name="MSIP_Label_a2b66c57-0888-49c5-9c42-f8765a044c7f_SetDate">
    <vt:lpwstr>2026-02-25T16:22:28Z</vt:lpwstr>
  </property>
  <property fmtid="{D5CDD505-2E9C-101B-9397-08002B2CF9AE}" pid="16" name="MSIP_Label_a2b66c57-0888-49c5-9c42-f8765a044c7f_Method">
    <vt:lpwstr>Privileged</vt:lpwstr>
  </property>
  <property fmtid="{D5CDD505-2E9C-101B-9397-08002B2CF9AE}" pid="17" name="MSIP_Label_a2b66c57-0888-49c5-9c42-f8765a044c7f_Name">
    <vt:lpwstr>Default Public</vt:lpwstr>
  </property>
  <property fmtid="{D5CDD505-2E9C-101B-9397-08002B2CF9AE}" pid="18" name="MSIP_Label_a2b66c57-0888-49c5-9c42-f8765a044c7f_SiteId">
    <vt:lpwstr>0b96d5d2-d153-4370-a2c7-8a926f24c8a1</vt:lpwstr>
  </property>
  <property fmtid="{D5CDD505-2E9C-101B-9397-08002B2CF9AE}" pid="19" name="MSIP_Label_a2b66c57-0888-49c5-9c42-f8765a044c7f_ActionId">
    <vt:lpwstr>965bf152-aca4-404f-a574-f3f687d04943</vt:lpwstr>
  </property>
  <property fmtid="{D5CDD505-2E9C-101B-9397-08002B2CF9AE}" pid="20" name="MSIP_Label_a2b66c57-0888-49c5-9c42-f8765a044c7f_ContentBits">
    <vt:lpwstr>1</vt:lpwstr>
  </property>
  <property fmtid="{D5CDD505-2E9C-101B-9397-08002B2CF9AE}" pid="21" name="MSIP_Label_a2b66c57-0888-49c5-9c42-f8765a044c7f_Tag">
    <vt:lpwstr>10, 0, 1, 1</vt:lpwstr>
  </property>
</Properties>
</file>